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1200"/>
        <w:gridCol w:w="19"/>
        <w:gridCol w:w="1298"/>
        <w:gridCol w:w="19"/>
        <w:gridCol w:w="1404"/>
        <w:gridCol w:w="19"/>
        <w:gridCol w:w="1134"/>
        <w:gridCol w:w="1206"/>
        <w:gridCol w:w="19"/>
      </w:tblGrid>
      <w:tr w:rsidR="00355D78" w:rsidTr="00355D78">
        <w:trPr>
          <w:tblCellSpacing w:w="0" w:type="dxa"/>
        </w:trPr>
        <w:tc>
          <w:tcPr>
            <w:tcW w:w="0" w:type="auto"/>
            <w:hideMark/>
          </w:tcPr>
          <w:tbl>
            <w:tblPr>
              <w:tblW w:w="0" w:type="auto"/>
              <w:jc w:val="center"/>
              <w:tblCellSpacing w:w="0" w:type="dxa"/>
              <w:tblCellMar>
                <w:left w:w="0" w:type="dxa"/>
                <w:right w:w="0" w:type="dxa"/>
              </w:tblCellMar>
              <w:tblLook w:val="04A0"/>
            </w:tblPr>
            <w:tblGrid>
              <w:gridCol w:w="180"/>
              <w:gridCol w:w="840"/>
              <w:gridCol w:w="180"/>
            </w:tblGrid>
            <w:tr w:rsidR="00355D78">
              <w:trPr>
                <w:trHeight w:val="255"/>
                <w:tblCellSpacing w:w="0" w:type="dxa"/>
                <w:jc w:val="center"/>
              </w:trPr>
              <w:tc>
                <w:tcPr>
                  <w:tcW w:w="180" w:type="dxa"/>
                  <w:vAlign w:val="center"/>
                  <w:hideMark/>
                </w:tcPr>
                <w:p w:rsidR="00355D78" w:rsidRDefault="00355D78" w:rsidP="00355D78">
                  <w:pPr>
                    <w:framePr w:hSpace="45" w:wrap="around" w:vAnchor="text" w:hAnchor="text"/>
                    <w:rPr>
                      <w:color w:val="FFFFFF"/>
                      <w:sz w:val="15"/>
                      <w:szCs w:val="15"/>
                    </w:rPr>
                  </w:pPr>
                </w:p>
              </w:tc>
              <w:tc>
                <w:tcPr>
                  <w:tcW w:w="0" w:type="auto"/>
                  <w:noWrap/>
                  <w:vAlign w:val="center"/>
                  <w:hideMark/>
                </w:tcPr>
                <w:p w:rsidR="00355D78" w:rsidRDefault="00355D78" w:rsidP="00355D78">
                  <w:pPr>
                    <w:framePr w:hSpace="45" w:wrap="around" w:vAnchor="text" w:hAnchor="text"/>
                    <w:rPr>
                      <w:rFonts w:ascii="Tahoma" w:hAnsi="Tahoma" w:cs="Tahoma"/>
                      <w:color w:val="FFFFFF"/>
                      <w:spacing w:val="15"/>
                      <w:sz w:val="17"/>
                      <w:szCs w:val="17"/>
                    </w:rPr>
                  </w:pPr>
                  <w:r>
                    <w:rPr>
                      <w:rFonts w:ascii="Tahoma" w:hAnsi="Tahoma" w:cs="Tahoma"/>
                      <w:color w:val="FFFFFF"/>
                      <w:spacing w:val="15"/>
                      <w:sz w:val="17"/>
                      <w:szCs w:val="17"/>
                    </w:rPr>
                    <w:t> Fişă Act </w:t>
                  </w:r>
                </w:p>
              </w:tc>
              <w:tc>
                <w:tcPr>
                  <w:tcW w:w="180" w:type="dxa"/>
                  <w:vAlign w:val="center"/>
                  <w:hideMark/>
                </w:tcPr>
                <w:p w:rsidR="00355D78" w:rsidRDefault="00355D78" w:rsidP="00355D78">
                  <w:pPr>
                    <w:framePr w:hSpace="45" w:wrap="around" w:vAnchor="text" w:hAnchor="text"/>
                    <w:rPr>
                      <w:color w:val="FFFFFF"/>
                      <w:sz w:val="15"/>
                      <w:szCs w:val="15"/>
                    </w:rPr>
                  </w:pPr>
                </w:p>
              </w:tc>
            </w:tr>
            <w:tr w:rsidR="00355D78">
              <w:trPr>
                <w:trHeight w:val="90"/>
                <w:tblCellSpacing w:w="0" w:type="dxa"/>
                <w:jc w:val="center"/>
              </w:trPr>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c>
                <w:tcPr>
                  <w:tcW w:w="0" w:type="auto"/>
                  <w:vAlign w:val="center"/>
                  <w:hideMark/>
                </w:tcPr>
                <w:p w:rsidR="00355D78" w:rsidRDefault="00355D78" w:rsidP="00355D78">
                  <w:pPr>
                    <w:framePr w:hSpace="45" w:wrap="around" w:vAnchor="text" w:hAnchor="text"/>
                    <w:rPr>
                      <w:rFonts w:ascii="Tahoma" w:hAnsi="Tahoma" w:cs="Tahoma"/>
                      <w:color w:val="FFFFFF"/>
                      <w:sz w:val="10"/>
                      <w:szCs w:val="17"/>
                    </w:rPr>
                  </w:pPr>
                </w:p>
              </w:tc>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r>
          </w:tbl>
          <w:p w:rsidR="00355D78" w:rsidRDefault="00355D78" w:rsidP="00355D78">
            <w:pPr>
              <w:rPr>
                <w:color w:val="000000"/>
                <w:sz w:val="15"/>
                <w:szCs w:val="15"/>
              </w:rPr>
            </w:pPr>
          </w:p>
        </w:tc>
        <w:tc>
          <w:tcPr>
            <w:tcW w:w="0" w:type="auto"/>
            <w:vAlign w:val="center"/>
            <w:hideMark/>
          </w:tcPr>
          <w:p w:rsidR="00355D78" w:rsidRDefault="00355D78" w:rsidP="00355D78">
            <w:pPr>
              <w:rPr>
                <w:rFonts w:ascii="Tahoma" w:hAnsi="Tahoma" w:cs="Tahoma"/>
                <w:color w:val="000000"/>
                <w:sz w:val="6"/>
                <w:szCs w:val="6"/>
              </w:rPr>
            </w:pPr>
            <w:r>
              <w:rPr>
                <w:rFonts w:ascii="Tahoma" w:hAnsi="Tahoma" w:cs="Tahoma"/>
                <w:color w:val="000000"/>
                <w:sz w:val="6"/>
                <w:szCs w:val="6"/>
              </w:rPr>
              <w:t> </w:t>
            </w:r>
          </w:p>
        </w:tc>
        <w:tc>
          <w:tcPr>
            <w:tcW w:w="0" w:type="auto"/>
            <w:hideMark/>
          </w:tcPr>
          <w:tbl>
            <w:tblPr>
              <w:tblW w:w="0" w:type="auto"/>
              <w:jc w:val="center"/>
              <w:tblCellSpacing w:w="0" w:type="dxa"/>
              <w:tblCellMar>
                <w:left w:w="0" w:type="dxa"/>
                <w:right w:w="0" w:type="dxa"/>
              </w:tblCellMar>
              <w:tblLook w:val="04A0"/>
            </w:tblPr>
            <w:tblGrid>
              <w:gridCol w:w="180"/>
              <w:gridCol w:w="938"/>
              <w:gridCol w:w="180"/>
            </w:tblGrid>
            <w:tr w:rsidR="00355D78">
              <w:trPr>
                <w:trHeight w:val="255"/>
                <w:tblCellSpacing w:w="0" w:type="dxa"/>
                <w:jc w:val="center"/>
              </w:trPr>
              <w:tc>
                <w:tcPr>
                  <w:tcW w:w="180" w:type="dxa"/>
                  <w:vAlign w:val="center"/>
                  <w:hideMark/>
                </w:tcPr>
                <w:p w:rsidR="00355D78" w:rsidRDefault="00355D78" w:rsidP="00355D78">
                  <w:pPr>
                    <w:framePr w:hSpace="45" w:wrap="around" w:vAnchor="text" w:hAnchor="text"/>
                    <w:rPr>
                      <w:color w:val="FFFFFF"/>
                      <w:sz w:val="15"/>
                      <w:szCs w:val="15"/>
                    </w:rPr>
                  </w:pPr>
                </w:p>
              </w:tc>
              <w:tc>
                <w:tcPr>
                  <w:tcW w:w="0" w:type="auto"/>
                  <w:noWrap/>
                  <w:vAlign w:val="center"/>
                  <w:hideMark/>
                </w:tcPr>
                <w:p w:rsidR="00355D78" w:rsidRDefault="00355D78" w:rsidP="00355D78">
                  <w:pPr>
                    <w:framePr w:hSpace="45" w:wrap="around" w:vAnchor="text" w:hAnchor="text"/>
                    <w:rPr>
                      <w:rFonts w:ascii="Tahoma" w:hAnsi="Tahoma" w:cs="Tahoma"/>
                      <w:color w:val="FFFFFF"/>
                      <w:spacing w:val="15"/>
                      <w:sz w:val="17"/>
                      <w:szCs w:val="17"/>
                    </w:rPr>
                  </w:pPr>
                  <w:r>
                    <w:rPr>
                      <w:rFonts w:ascii="Tahoma" w:hAnsi="Tahoma" w:cs="Tahoma"/>
                      <w:color w:val="FFFFFF"/>
                      <w:spacing w:val="15"/>
                      <w:sz w:val="17"/>
                      <w:szCs w:val="17"/>
                    </w:rPr>
                    <w:t> Forme A. </w:t>
                  </w:r>
                </w:p>
              </w:tc>
              <w:tc>
                <w:tcPr>
                  <w:tcW w:w="180" w:type="dxa"/>
                  <w:vAlign w:val="center"/>
                  <w:hideMark/>
                </w:tcPr>
                <w:p w:rsidR="00355D78" w:rsidRDefault="00355D78" w:rsidP="00355D78">
                  <w:pPr>
                    <w:framePr w:hSpace="45" w:wrap="around" w:vAnchor="text" w:hAnchor="text"/>
                    <w:rPr>
                      <w:color w:val="FFFFFF"/>
                      <w:sz w:val="15"/>
                      <w:szCs w:val="15"/>
                    </w:rPr>
                  </w:pPr>
                </w:p>
              </w:tc>
            </w:tr>
            <w:tr w:rsidR="00355D78">
              <w:trPr>
                <w:trHeight w:val="90"/>
                <w:tblCellSpacing w:w="0" w:type="dxa"/>
                <w:jc w:val="center"/>
              </w:trPr>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c>
                <w:tcPr>
                  <w:tcW w:w="0" w:type="auto"/>
                  <w:vAlign w:val="center"/>
                  <w:hideMark/>
                </w:tcPr>
                <w:p w:rsidR="00355D78" w:rsidRDefault="00355D78" w:rsidP="00355D78">
                  <w:pPr>
                    <w:framePr w:hSpace="45" w:wrap="around" w:vAnchor="text" w:hAnchor="text"/>
                    <w:rPr>
                      <w:rFonts w:ascii="Tahoma" w:hAnsi="Tahoma" w:cs="Tahoma"/>
                      <w:color w:val="FFFFFF"/>
                      <w:sz w:val="10"/>
                      <w:szCs w:val="17"/>
                    </w:rPr>
                  </w:pPr>
                </w:p>
              </w:tc>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r>
          </w:tbl>
          <w:p w:rsidR="00355D78" w:rsidRDefault="00355D78" w:rsidP="00355D78">
            <w:pPr>
              <w:rPr>
                <w:color w:val="000000"/>
                <w:sz w:val="15"/>
                <w:szCs w:val="15"/>
              </w:rPr>
            </w:pPr>
          </w:p>
        </w:tc>
        <w:tc>
          <w:tcPr>
            <w:tcW w:w="0" w:type="auto"/>
            <w:vAlign w:val="center"/>
            <w:hideMark/>
          </w:tcPr>
          <w:p w:rsidR="00355D78" w:rsidRDefault="00355D78" w:rsidP="00355D78">
            <w:pPr>
              <w:rPr>
                <w:rFonts w:ascii="Tahoma" w:hAnsi="Tahoma" w:cs="Tahoma"/>
                <w:color w:val="000000"/>
                <w:sz w:val="6"/>
                <w:szCs w:val="6"/>
              </w:rPr>
            </w:pPr>
            <w:r>
              <w:rPr>
                <w:rFonts w:ascii="Tahoma" w:hAnsi="Tahoma" w:cs="Tahoma"/>
                <w:color w:val="000000"/>
                <w:sz w:val="6"/>
                <w:szCs w:val="6"/>
              </w:rPr>
              <w:t> </w:t>
            </w:r>
          </w:p>
        </w:tc>
        <w:tc>
          <w:tcPr>
            <w:tcW w:w="0" w:type="auto"/>
            <w:hideMark/>
          </w:tcPr>
          <w:tbl>
            <w:tblPr>
              <w:tblW w:w="0" w:type="auto"/>
              <w:jc w:val="center"/>
              <w:tblCellSpacing w:w="0" w:type="dxa"/>
              <w:tblCellMar>
                <w:left w:w="0" w:type="dxa"/>
                <w:right w:w="0" w:type="dxa"/>
              </w:tblCellMar>
              <w:tblLook w:val="04A0"/>
            </w:tblPr>
            <w:tblGrid>
              <w:gridCol w:w="180"/>
              <w:gridCol w:w="1044"/>
              <w:gridCol w:w="180"/>
            </w:tblGrid>
            <w:tr w:rsidR="00355D78">
              <w:trPr>
                <w:trHeight w:val="255"/>
                <w:tblCellSpacing w:w="0" w:type="dxa"/>
                <w:jc w:val="center"/>
              </w:trPr>
              <w:tc>
                <w:tcPr>
                  <w:tcW w:w="180" w:type="dxa"/>
                  <w:vAlign w:val="center"/>
                  <w:hideMark/>
                </w:tcPr>
                <w:p w:rsidR="00355D78" w:rsidRDefault="00355D78" w:rsidP="00355D78">
                  <w:pPr>
                    <w:framePr w:hSpace="45" w:wrap="around" w:vAnchor="text" w:hAnchor="text"/>
                    <w:rPr>
                      <w:color w:val="FFFFFF"/>
                      <w:sz w:val="15"/>
                      <w:szCs w:val="15"/>
                    </w:rPr>
                  </w:pPr>
                </w:p>
              </w:tc>
              <w:tc>
                <w:tcPr>
                  <w:tcW w:w="0" w:type="auto"/>
                  <w:noWrap/>
                  <w:vAlign w:val="center"/>
                  <w:hideMark/>
                </w:tcPr>
                <w:p w:rsidR="00355D78" w:rsidRDefault="00355D78" w:rsidP="00355D78">
                  <w:pPr>
                    <w:framePr w:hSpace="45" w:wrap="around" w:vAnchor="text" w:hAnchor="text"/>
                    <w:rPr>
                      <w:rFonts w:ascii="Tahoma" w:hAnsi="Tahoma" w:cs="Tahoma"/>
                      <w:color w:val="FFFFFF"/>
                      <w:spacing w:val="15"/>
                      <w:sz w:val="17"/>
                      <w:szCs w:val="17"/>
                    </w:rPr>
                  </w:pPr>
                  <w:r>
                    <w:rPr>
                      <w:rFonts w:ascii="Tahoma" w:hAnsi="Tahoma" w:cs="Tahoma"/>
                      <w:color w:val="FFFFFF"/>
                      <w:spacing w:val="15"/>
                      <w:sz w:val="17"/>
                      <w:szCs w:val="17"/>
                    </w:rPr>
                    <w:t> Vizualizări </w:t>
                  </w:r>
                </w:p>
              </w:tc>
              <w:tc>
                <w:tcPr>
                  <w:tcW w:w="180" w:type="dxa"/>
                  <w:vAlign w:val="center"/>
                  <w:hideMark/>
                </w:tcPr>
                <w:p w:rsidR="00355D78" w:rsidRDefault="00355D78" w:rsidP="00355D78">
                  <w:pPr>
                    <w:framePr w:hSpace="45" w:wrap="around" w:vAnchor="text" w:hAnchor="text"/>
                    <w:rPr>
                      <w:color w:val="FFFFFF"/>
                      <w:sz w:val="15"/>
                      <w:szCs w:val="15"/>
                    </w:rPr>
                  </w:pPr>
                </w:p>
              </w:tc>
            </w:tr>
            <w:tr w:rsidR="00355D78">
              <w:trPr>
                <w:trHeight w:val="90"/>
                <w:tblCellSpacing w:w="0" w:type="dxa"/>
                <w:jc w:val="center"/>
              </w:trPr>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c>
                <w:tcPr>
                  <w:tcW w:w="0" w:type="auto"/>
                  <w:vAlign w:val="center"/>
                  <w:hideMark/>
                </w:tcPr>
                <w:p w:rsidR="00355D78" w:rsidRDefault="00355D78" w:rsidP="00355D78">
                  <w:pPr>
                    <w:framePr w:hSpace="45" w:wrap="around" w:vAnchor="text" w:hAnchor="text"/>
                    <w:rPr>
                      <w:rFonts w:ascii="Tahoma" w:hAnsi="Tahoma" w:cs="Tahoma"/>
                      <w:color w:val="FFFFFF"/>
                      <w:sz w:val="10"/>
                      <w:szCs w:val="17"/>
                    </w:rPr>
                  </w:pPr>
                </w:p>
              </w:tc>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r>
          </w:tbl>
          <w:p w:rsidR="00355D78" w:rsidRDefault="00355D78" w:rsidP="00355D78">
            <w:pPr>
              <w:rPr>
                <w:color w:val="000000"/>
                <w:sz w:val="15"/>
                <w:szCs w:val="15"/>
              </w:rPr>
            </w:pPr>
          </w:p>
        </w:tc>
        <w:tc>
          <w:tcPr>
            <w:tcW w:w="0" w:type="auto"/>
            <w:vAlign w:val="center"/>
            <w:hideMark/>
          </w:tcPr>
          <w:p w:rsidR="00355D78" w:rsidRDefault="00355D78" w:rsidP="00355D78">
            <w:pPr>
              <w:rPr>
                <w:rFonts w:ascii="Tahoma" w:hAnsi="Tahoma" w:cs="Tahoma"/>
                <w:color w:val="000000"/>
                <w:sz w:val="6"/>
                <w:szCs w:val="6"/>
              </w:rPr>
            </w:pPr>
            <w:r>
              <w:rPr>
                <w:rFonts w:ascii="Tahoma" w:hAnsi="Tahoma" w:cs="Tahoma"/>
                <w:color w:val="000000"/>
                <w:sz w:val="6"/>
                <w:szCs w:val="6"/>
              </w:rPr>
              <w:t> </w:t>
            </w:r>
          </w:p>
        </w:tc>
        <w:tc>
          <w:tcPr>
            <w:tcW w:w="0" w:type="auto"/>
            <w:hideMark/>
          </w:tcPr>
          <w:tbl>
            <w:tblPr>
              <w:tblW w:w="0" w:type="auto"/>
              <w:jc w:val="center"/>
              <w:tblCellSpacing w:w="0" w:type="dxa"/>
              <w:tblCellMar>
                <w:left w:w="0" w:type="dxa"/>
                <w:right w:w="0" w:type="dxa"/>
              </w:tblCellMar>
              <w:tblLook w:val="04A0"/>
            </w:tblPr>
            <w:tblGrid>
              <w:gridCol w:w="180"/>
              <w:gridCol w:w="774"/>
              <w:gridCol w:w="180"/>
            </w:tblGrid>
            <w:tr w:rsidR="00355D78">
              <w:trPr>
                <w:trHeight w:val="255"/>
                <w:tblCellSpacing w:w="0" w:type="dxa"/>
                <w:jc w:val="center"/>
              </w:trPr>
              <w:tc>
                <w:tcPr>
                  <w:tcW w:w="180" w:type="dxa"/>
                  <w:vAlign w:val="center"/>
                  <w:hideMark/>
                </w:tcPr>
                <w:p w:rsidR="00355D78" w:rsidRDefault="00355D78" w:rsidP="00355D78">
                  <w:pPr>
                    <w:framePr w:hSpace="45" w:wrap="around" w:vAnchor="text" w:hAnchor="text"/>
                    <w:rPr>
                      <w:color w:val="FFFFFF"/>
                      <w:sz w:val="15"/>
                      <w:szCs w:val="15"/>
                    </w:rPr>
                  </w:pPr>
                </w:p>
              </w:tc>
              <w:tc>
                <w:tcPr>
                  <w:tcW w:w="0" w:type="auto"/>
                  <w:noWrap/>
                  <w:vAlign w:val="center"/>
                  <w:hideMark/>
                </w:tcPr>
                <w:p w:rsidR="00355D78" w:rsidRDefault="00355D78" w:rsidP="00355D78">
                  <w:pPr>
                    <w:framePr w:hSpace="45" w:wrap="around" w:vAnchor="text" w:hAnchor="text"/>
                    <w:rPr>
                      <w:rFonts w:ascii="Tahoma" w:hAnsi="Tahoma" w:cs="Tahoma"/>
                      <w:color w:val="FFFFFF"/>
                      <w:spacing w:val="15"/>
                      <w:sz w:val="17"/>
                      <w:szCs w:val="17"/>
                    </w:rPr>
                  </w:pPr>
                  <w:r>
                    <w:rPr>
                      <w:rFonts w:ascii="Tahoma" w:hAnsi="Tahoma" w:cs="Tahoma"/>
                      <w:color w:val="FFFFFF"/>
                      <w:spacing w:val="15"/>
                      <w:sz w:val="17"/>
                      <w:szCs w:val="17"/>
                    </w:rPr>
                    <w:t> Căutări </w:t>
                  </w:r>
                </w:p>
              </w:tc>
              <w:tc>
                <w:tcPr>
                  <w:tcW w:w="180" w:type="dxa"/>
                  <w:vAlign w:val="center"/>
                  <w:hideMark/>
                </w:tcPr>
                <w:p w:rsidR="00355D78" w:rsidRDefault="00355D78" w:rsidP="00355D78">
                  <w:pPr>
                    <w:framePr w:hSpace="45" w:wrap="around" w:vAnchor="text" w:hAnchor="text"/>
                    <w:rPr>
                      <w:color w:val="FFFFFF"/>
                      <w:sz w:val="15"/>
                      <w:szCs w:val="15"/>
                    </w:rPr>
                  </w:pPr>
                </w:p>
              </w:tc>
            </w:tr>
            <w:tr w:rsidR="00355D78">
              <w:trPr>
                <w:trHeight w:val="90"/>
                <w:tblCellSpacing w:w="0" w:type="dxa"/>
                <w:jc w:val="center"/>
              </w:trPr>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c>
                <w:tcPr>
                  <w:tcW w:w="0" w:type="auto"/>
                  <w:vAlign w:val="center"/>
                  <w:hideMark/>
                </w:tcPr>
                <w:p w:rsidR="00355D78" w:rsidRDefault="00355D78" w:rsidP="00355D78">
                  <w:pPr>
                    <w:framePr w:hSpace="45" w:wrap="around" w:vAnchor="text" w:hAnchor="text"/>
                    <w:rPr>
                      <w:rFonts w:ascii="Tahoma" w:hAnsi="Tahoma" w:cs="Tahoma"/>
                      <w:color w:val="FFFFFF"/>
                      <w:sz w:val="10"/>
                      <w:szCs w:val="17"/>
                    </w:rPr>
                  </w:pPr>
                </w:p>
              </w:tc>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r>
          </w:tbl>
          <w:p w:rsidR="00355D78" w:rsidRDefault="00355D78" w:rsidP="00355D78">
            <w:pPr>
              <w:rPr>
                <w:color w:val="000000"/>
                <w:sz w:val="15"/>
                <w:szCs w:val="15"/>
              </w:rPr>
            </w:pPr>
          </w:p>
        </w:tc>
        <w:tc>
          <w:tcPr>
            <w:tcW w:w="0" w:type="auto"/>
            <w:hideMark/>
          </w:tcPr>
          <w:tbl>
            <w:tblPr>
              <w:tblW w:w="0" w:type="auto"/>
              <w:jc w:val="center"/>
              <w:tblCellSpacing w:w="0" w:type="dxa"/>
              <w:tblCellMar>
                <w:left w:w="0" w:type="dxa"/>
                <w:right w:w="0" w:type="dxa"/>
              </w:tblCellMar>
              <w:tblLook w:val="04A0"/>
            </w:tblPr>
            <w:tblGrid>
              <w:gridCol w:w="180"/>
              <w:gridCol w:w="846"/>
              <w:gridCol w:w="180"/>
            </w:tblGrid>
            <w:tr w:rsidR="00355D78">
              <w:trPr>
                <w:trHeight w:val="255"/>
                <w:tblCellSpacing w:w="0" w:type="dxa"/>
                <w:jc w:val="center"/>
              </w:trPr>
              <w:tc>
                <w:tcPr>
                  <w:tcW w:w="180" w:type="dxa"/>
                  <w:vAlign w:val="center"/>
                  <w:hideMark/>
                </w:tcPr>
                <w:p w:rsidR="00355D78" w:rsidRDefault="00355D78" w:rsidP="00355D78">
                  <w:pPr>
                    <w:framePr w:hSpace="45" w:wrap="around" w:vAnchor="text" w:hAnchor="text"/>
                    <w:rPr>
                      <w:color w:val="FFFFFF"/>
                      <w:sz w:val="15"/>
                      <w:szCs w:val="15"/>
                    </w:rPr>
                  </w:pPr>
                </w:p>
              </w:tc>
              <w:tc>
                <w:tcPr>
                  <w:tcW w:w="0" w:type="auto"/>
                  <w:noWrap/>
                  <w:vAlign w:val="center"/>
                  <w:hideMark/>
                </w:tcPr>
                <w:p w:rsidR="00355D78" w:rsidRDefault="00355D78" w:rsidP="00355D78">
                  <w:pPr>
                    <w:framePr w:hSpace="45" w:wrap="around" w:vAnchor="text" w:hAnchor="text"/>
                    <w:rPr>
                      <w:rFonts w:ascii="Tahoma" w:hAnsi="Tahoma" w:cs="Tahoma"/>
                      <w:color w:val="FFFFFF"/>
                      <w:spacing w:val="15"/>
                      <w:sz w:val="17"/>
                      <w:szCs w:val="17"/>
                    </w:rPr>
                  </w:pPr>
                  <w:r>
                    <w:rPr>
                      <w:rFonts w:ascii="Tahoma" w:hAnsi="Tahoma" w:cs="Tahoma"/>
                      <w:color w:val="FFFFFF"/>
                      <w:spacing w:val="15"/>
                      <w:sz w:val="17"/>
                      <w:szCs w:val="17"/>
                    </w:rPr>
                    <w:t> Operaţii </w:t>
                  </w:r>
                </w:p>
              </w:tc>
              <w:tc>
                <w:tcPr>
                  <w:tcW w:w="180" w:type="dxa"/>
                  <w:vAlign w:val="center"/>
                  <w:hideMark/>
                </w:tcPr>
                <w:p w:rsidR="00355D78" w:rsidRDefault="00355D78" w:rsidP="00355D78">
                  <w:pPr>
                    <w:framePr w:hSpace="45" w:wrap="around" w:vAnchor="text" w:hAnchor="text"/>
                    <w:rPr>
                      <w:color w:val="FFFFFF"/>
                      <w:sz w:val="15"/>
                      <w:szCs w:val="15"/>
                    </w:rPr>
                  </w:pPr>
                </w:p>
              </w:tc>
            </w:tr>
            <w:tr w:rsidR="00355D78">
              <w:trPr>
                <w:trHeight w:val="90"/>
                <w:tblCellSpacing w:w="0" w:type="dxa"/>
                <w:jc w:val="center"/>
              </w:trPr>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c>
                <w:tcPr>
                  <w:tcW w:w="0" w:type="auto"/>
                  <w:vAlign w:val="center"/>
                  <w:hideMark/>
                </w:tcPr>
                <w:p w:rsidR="00355D78" w:rsidRDefault="00355D78" w:rsidP="00355D78">
                  <w:pPr>
                    <w:framePr w:hSpace="45" w:wrap="around" w:vAnchor="text" w:hAnchor="text"/>
                    <w:rPr>
                      <w:rFonts w:ascii="Tahoma" w:hAnsi="Tahoma" w:cs="Tahoma"/>
                      <w:color w:val="FFFFFF"/>
                      <w:sz w:val="10"/>
                      <w:szCs w:val="17"/>
                    </w:rPr>
                  </w:pPr>
                </w:p>
              </w:tc>
              <w:tc>
                <w:tcPr>
                  <w:tcW w:w="180" w:type="dxa"/>
                  <w:tcMar>
                    <w:top w:w="0" w:type="dxa"/>
                    <w:left w:w="0" w:type="dxa"/>
                    <w:bottom w:w="45" w:type="dxa"/>
                    <w:right w:w="0" w:type="dxa"/>
                  </w:tcMar>
                  <w:vAlign w:val="center"/>
                  <w:hideMark/>
                </w:tcPr>
                <w:p w:rsidR="00355D78" w:rsidRDefault="00355D78" w:rsidP="00355D78">
                  <w:pPr>
                    <w:framePr w:hSpace="45" w:wrap="around" w:vAnchor="text" w:hAnchor="text"/>
                    <w:rPr>
                      <w:color w:val="FFFFFF"/>
                      <w:sz w:val="10"/>
                      <w:szCs w:val="15"/>
                    </w:rPr>
                  </w:pPr>
                </w:p>
              </w:tc>
            </w:tr>
          </w:tbl>
          <w:p w:rsidR="00355D78" w:rsidRDefault="00355D78" w:rsidP="00355D78">
            <w:pPr>
              <w:rPr>
                <w:color w:val="000000"/>
                <w:sz w:val="15"/>
                <w:szCs w:val="15"/>
              </w:rPr>
            </w:pPr>
          </w:p>
        </w:tc>
        <w:tc>
          <w:tcPr>
            <w:tcW w:w="0" w:type="auto"/>
            <w:vAlign w:val="center"/>
            <w:hideMark/>
          </w:tcPr>
          <w:p w:rsidR="00355D78" w:rsidRDefault="00355D78" w:rsidP="00355D78">
            <w:pPr>
              <w:rPr>
                <w:rFonts w:ascii="Tahoma" w:hAnsi="Tahoma" w:cs="Tahoma"/>
                <w:color w:val="000000"/>
                <w:sz w:val="6"/>
                <w:szCs w:val="6"/>
              </w:rPr>
            </w:pPr>
            <w:r>
              <w:rPr>
                <w:rFonts w:ascii="Tahoma" w:hAnsi="Tahoma" w:cs="Tahoma"/>
                <w:color w:val="000000"/>
                <w:sz w:val="6"/>
                <w:szCs w:val="6"/>
              </w:rPr>
              <w:t> </w:t>
            </w:r>
          </w:p>
        </w:tc>
      </w:tr>
    </w:tbl>
    <w:tbl>
      <w:tblPr>
        <w:tblpPr w:leftFromText="45" w:rightFromText="195" w:vertAnchor="text" w:tblpXSpec="right" w:tblpYSpec="center"/>
        <w:tblW w:w="0" w:type="auto"/>
        <w:tblCellSpacing w:w="0" w:type="dxa"/>
        <w:tblCellMar>
          <w:left w:w="0" w:type="dxa"/>
          <w:right w:w="0" w:type="dxa"/>
        </w:tblCellMar>
        <w:tblLook w:val="04A0"/>
      </w:tblPr>
      <w:tblGrid>
        <w:gridCol w:w="6"/>
      </w:tblGrid>
      <w:tr w:rsidR="00355D78" w:rsidTr="00355D78">
        <w:trPr>
          <w:tblCellSpacing w:w="0" w:type="dxa"/>
        </w:trPr>
        <w:tc>
          <w:tcPr>
            <w:tcW w:w="0" w:type="auto"/>
            <w:vAlign w:val="center"/>
            <w:hideMark/>
          </w:tcPr>
          <w:p w:rsidR="00355D78" w:rsidRDefault="00355D78" w:rsidP="00355D78">
            <w:pPr>
              <w:rPr>
                <w:color w:val="000000"/>
                <w:sz w:val="15"/>
                <w:szCs w:val="15"/>
              </w:rPr>
            </w:pPr>
          </w:p>
        </w:tc>
      </w:tr>
    </w:tbl>
    <w:p w:rsidR="00355D78" w:rsidRDefault="00355D78" w:rsidP="00355D78">
      <w:pPr>
        <w:rPr>
          <w:vanish/>
        </w:rPr>
      </w:pPr>
    </w:p>
    <w:tbl>
      <w:tblPr>
        <w:tblpPr w:leftFromText="45" w:rightFromText="195" w:vertAnchor="text" w:tblpXSpec="right" w:tblpYSpec="center"/>
        <w:tblW w:w="0" w:type="auto"/>
        <w:tblCellSpacing w:w="0" w:type="dxa"/>
        <w:tblCellMar>
          <w:left w:w="0" w:type="dxa"/>
          <w:right w:w="0" w:type="dxa"/>
        </w:tblCellMar>
        <w:tblLook w:val="04A0"/>
      </w:tblPr>
      <w:tblGrid>
        <w:gridCol w:w="165"/>
        <w:gridCol w:w="467"/>
        <w:gridCol w:w="165"/>
      </w:tblGrid>
      <w:tr w:rsidR="00355D78" w:rsidTr="00355D78">
        <w:trPr>
          <w:trHeight w:val="345"/>
          <w:tblCellSpacing w:w="0" w:type="dxa"/>
        </w:trPr>
        <w:tc>
          <w:tcPr>
            <w:tcW w:w="165" w:type="dxa"/>
            <w:tcMar>
              <w:top w:w="0" w:type="dxa"/>
              <w:left w:w="0" w:type="dxa"/>
              <w:bottom w:w="45" w:type="dxa"/>
              <w:right w:w="0" w:type="dxa"/>
            </w:tcMar>
            <w:vAlign w:val="center"/>
            <w:hideMark/>
          </w:tcPr>
          <w:p w:rsidR="00355D78" w:rsidRDefault="00355D78" w:rsidP="00355D78">
            <w:pPr>
              <w:rPr>
                <w:color w:val="FFFFFF"/>
                <w:sz w:val="15"/>
                <w:szCs w:val="15"/>
              </w:rPr>
            </w:pPr>
          </w:p>
        </w:tc>
        <w:tc>
          <w:tcPr>
            <w:tcW w:w="0" w:type="auto"/>
            <w:tcMar>
              <w:top w:w="0" w:type="dxa"/>
              <w:left w:w="0" w:type="dxa"/>
              <w:bottom w:w="45" w:type="dxa"/>
              <w:right w:w="0" w:type="dxa"/>
            </w:tcMar>
            <w:vAlign w:val="center"/>
            <w:hideMark/>
          </w:tcPr>
          <w:p w:rsidR="00355D78" w:rsidRDefault="00355D78" w:rsidP="00355D78">
            <w:pPr>
              <w:rPr>
                <w:rFonts w:ascii="Tahoma" w:hAnsi="Tahoma" w:cs="Tahoma"/>
                <w:color w:val="FFFFFF"/>
                <w:spacing w:val="15"/>
                <w:sz w:val="17"/>
                <w:szCs w:val="17"/>
              </w:rPr>
            </w:pPr>
            <w:r>
              <w:rPr>
                <w:rFonts w:ascii="Tahoma" w:hAnsi="Tahoma" w:cs="Tahoma"/>
                <w:color w:val="FFFFFF"/>
                <w:spacing w:val="15"/>
                <w:sz w:val="17"/>
                <w:szCs w:val="17"/>
              </w:rPr>
              <w:t> Top </w:t>
            </w:r>
          </w:p>
        </w:tc>
        <w:tc>
          <w:tcPr>
            <w:tcW w:w="165" w:type="dxa"/>
            <w:tcMar>
              <w:top w:w="0" w:type="dxa"/>
              <w:left w:w="0" w:type="dxa"/>
              <w:bottom w:w="45" w:type="dxa"/>
              <w:right w:w="0" w:type="dxa"/>
            </w:tcMar>
            <w:vAlign w:val="center"/>
            <w:hideMark/>
          </w:tcPr>
          <w:p w:rsidR="00355D78" w:rsidRDefault="00355D78" w:rsidP="00355D78">
            <w:pPr>
              <w:rPr>
                <w:color w:val="FFFFFF"/>
                <w:sz w:val="15"/>
                <w:szCs w:val="15"/>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65"/>
        <w:gridCol w:w="795"/>
        <w:gridCol w:w="165"/>
      </w:tblGrid>
      <w:tr w:rsidR="00355D78" w:rsidTr="00355D78">
        <w:trPr>
          <w:trHeight w:val="345"/>
          <w:tblCellSpacing w:w="0" w:type="dxa"/>
        </w:trPr>
        <w:tc>
          <w:tcPr>
            <w:tcW w:w="165" w:type="dxa"/>
            <w:tcMar>
              <w:top w:w="0" w:type="dxa"/>
              <w:left w:w="0" w:type="dxa"/>
              <w:bottom w:w="45" w:type="dxa"/>
              <w:right w:w="0" w:type="dxa"/>
            </w:tcMar>
            <w:vAlign w:val="center"/>
            <w:hideMark/>
          </w:tcPr>
          <w:p w:rsidR="00355D78" w:rsidRDefault="00355D78" w:rsidP="00355D78">
            <w:pPr>
              <w:rPr>
                <w:color w:val="FFFFFF"/>
                <w:sz w:val="15"/>
                <w:szCs w:val="15"/>
              </w:rPr>
            </w:pPr>
          </w:p>
        </w:tc>
        <w:tc>
          <w:tcPr>
            <w:tcW w:w="0" w:type="auto"/>
            <w:tcMar>
              <w:top w:w="0" w:type="dxa"/>
              <w:left w:w="0" w:type="dxa"/>
              <w:bottom w:w="45" w:type="dxa"/>
              <w:right w:w="0" w:type="dxa"/>
            </w:tcMar>
            <w:vAlign w:val="center"/>
            <w:hideMark/>
          </w:tcPr>
          <w:p w:rsidR="00355D78" w:rsidRDefault="00355D78" w:rsidP="00355D78">
            <w:pPr>
              <w:rPr>
                <w:rFonts w:ascii="Tahoma" w:hAnsi="Tahoma" w:cs="Tahoma"/>
                <w:color w:val="FFFFFF"/>
                <w:spacing w:val="15"/>
                <w:sz w:val="17"/>
                <w:szCs w:val="17"/>
              </w:rPr>
            </w:pPr>
            <w:r>
              <w:rPr>
                <w:rFonts w:ascii="Tahoma" w:hAnsi="Tahoma" w:cs="Tahoma"/>
                <w:color w:val="FFFFFF"/>
                <w:spacing w:val="15"/>
                <w:sz w:val="17"/>
                <w:szCs w:val="17"/>
              </w:rPr>
              <w:t> Închide </w:t>
            </w:r>
          </w:p>
        </w:tc>
        <w:tc>
          <w:tcPr>
            <w:tcW w:w="165" w:type="dxa"/>
            <w:tcMar>
              <w:top w:w="0" w:type="dxa"/>
              <w:left w:w="0" w:type="dxa"/>
              <w:bottom w:w="45" w:type="dxa"/>
              <w:right w:w="0" w:type="dxa"/>
            </w:tcMar>
            <w:vAlign w:val="center"/>
            <w:hideMark/>
          </w:tcPr>
          <w:p w:rsidR="00355D78" w:rsidRDefault="00355D78" w:rsidP="00355D78">
            <w:pPr>
              <w:rPr>
                <w:color w:val="FFFFFF"/>
                <w:sz w:val="15"/>
                <w:szCs w:val="15"/>
              </w:rPr>
            </w:pPr>
          </w:p>
        </w:tc>
      </w:tr>
    </w:tbl>
    <w:p w:rsidR="00355D78" w:rsidRDefault="00355D78" w:rsidP="00355D78">
      <w:pPr>
        <w:shd w:val="clear" w:color="auto" w:fill="FFFFFF"/>
        <w:rPr>
          <w:b/>
          <w:bCs/>
          <w:color w:val="000000"/>
          <w:sz w:val="36"/>
          <w:szCs w:val="36"/>
        </w:rPr>
      </w:pPr>
    </w:p>
    <w:p w:rsidR="00355D78" w:rsidRPr="00355D78" w:rsidRDefault="00355D78" w:rsidP="00355D78">
      <w:pPr>
        <w:shd w:val="clear" w:color="auto" w:fill="FFFFFF"/>
        <w:rPr>
          <w:color w:val="000000"/>
          <w:sz w:val="27"/>
          <w:szCs w:val="27"/>
        </w:rPr>
      </w:pPr>
      <w:r>
        <w:rPr>
          <w:rFonts w:ascii="Courier New" w:hAnsi="Courier New" w:cs="Courier New"/>
          <w:b/>
          <w:bCs/>
          <w:color w:val="0000FF"/>
        </w:rPr>
        <w:t>ORDIN nr. 414 din 11 martie 2020</w:t>
      </w:r>
      <w:r>
        <w:rPr>
          <w:b/>
          <w:bCs/>
          <w:color w:val="000000"/>
          <w:sz w:val="36"/>
          <w:szCs w:val="36"/>
        </w:rPr>
        <w:br/>
      </w:r>
      <w:r>
        <w:rPr>
          <w:rFonts w:ascii="Courier New" w:hAnsi="Courier New" w:cs="Courier New"/>
          <w:b/>
          <w:bCs/>
          <w:color w:val="000000"/>
        </w:rPr>
        <w:t>privind instituirea măsurii de carantină pentru persoanele aflate în situaţia de urgenţă de sănătate publică internaţională determinată de infecţia cu COVID-19 şi stabilirea unor măsuri în vederea prevenirii şi limitării efectelor epidemiei</w:t>
      </w:r>
      <w:r>
        <w:rPr>
          <w:b/>
          <w:bCs/>
          <w:color w:val="000000"/>
          <w:sz w:val="36"/>
          <w:szCs w:val="36"/>
        </w:rPr>
        <w:br/>
      </w:r>
      <w:r>
        <w:rPr>
          <w:b/>
          <w:bCs/>
          <w:color w:val="000000"/>
          <w:sz w:val="36"/>
          <w:szCs w:val="36"/>
        </w:rPr>
        <w:br/>
      </w:r>
      <w:r>
        <w:rPr>
          <w:rFonts w:ascii="Courier New" w:hAnsi="Courier New" w:cs="Courier New"/>
          <w:b/>
          <w:bCs/>
          <w:color w:val="000000"/>
        </w:rPr>
        <w:t>EMITENT: </w:t>
      </w:r>
      <w:r>
        <w:rPr>
          <w:rFonts w:ascii="Courier New" w:hAnsi="Courier New" w:cs="Courier New"/>
          <w:b/>
          <w:bCs/>
          <w:color w:val="0000FF"/>
        </w:rPr>
        <w:t>Ministerul Sănătăţii</w:t>
      </w:r>
      <w:r>
        <w:rPr>
          <w:b/>
          <w:bCs/>
          <w:color w:val="000000"/>
          <w:sz w:val="36"/>
          <w:szCs w:val="36"/>
        </w:rPr>
        <w:br/>
      </w:r>
      <w:r>
        <w:rPr>
          <w:rFonts w:ascii="Courier New" w:hAnsi="Courier New" w:cs="Courier New"/>
          <w:b/>
          <w:bCs/>
          <w:color w:val="000000"/>
        </w:rPr>
        <w:t>PUBLICAT ÎN: </w:t>
      </w:r>
      <w:r>
        <w:rPr>
          <w:rFonts w:ascii="Courier New" w:hAnsi="Courier New" w:cs="Courier New"/>
          <w:b/>
          <w:bCs/>
          <w:color w:val="0000FF"/>
        </w:rPr>
        <w:t>Monitorul Oficial nr. 201 din 12 martie 2020</w:t>
      </w:r>
      <w:r>
        <w:rPr>
          <w:color w:val="000000"/>
          <w:sz w:val="27"/>
          <w:szCs w:val="27"/>
        </w:rPr>
        <w:br/>
      </w:r>
      <w:r>
        <w:rPr>
          <w:b/>
          <w:bCs/>
          <w:color w:val="000000"/>
          <w:sz w:val="27"/>
          <w:szCs w:val="27"/>
        </w:rPr>
        <w:t>Data intrării în vigoare: </w:t>
      </w:r>
    </w:p>
    <w:p w:rsidR="00355D78" w:rsidRPr="00355D78" w:rsidRDefault="00355D78" w:rsidP="00355D78">
      <w:pPr>
        <w:shd w:val="clear" w:color="auto" w:fill="FFFFFF"/>
        <w:rPr>
          <w:b/>
          <w:bCs/>
          <w:color w:val="0000FF"/>
          <w:sz w:val="27"/>
          <w:szCs w:val="27"/>
        </w:rPr>
      </w:pPr>
      <w:r>
        <w:rPr>
          <w:b/>
          <w:bCs/>
          <w:color w:val="0000FF"/>
          <w:sz w:val="27"/>
          <w:szCs w:val="27"/>
        </w:rPr>
        <w:t>12 Martie 2020</w:t>
      </w:r>
    </w:p>
    <w:p w:rsidR="00355D78" w:rsidRDefault="00355D78" w:rsidP="00355D78">
      <w:pPr>
        <w:shd w:val="clear" w:color="auto" w:fill="FFFFFF"/>
        <w:spacing w:after="0"/>
        <w:rPr>
          <w:color w:val="000000"/>
          <w:sz w:val="27"/>
          <w:szCs w:val="27"/>
        </w:rPr>
      </w:pPr>
      <w:hyperlink r:id="rId5" w:history="1">
        <w:r>
          <w:rPr>
            <w:rStyle w:val="Hyperlink"/>
            <w:b/>
            <w:bCs/>
            <w:sz w:val="20"/>
            <w:szCs w:val="20"/>
          </w:rPr>
          <w:t>Istoric consolidări</w:t>
        </w:r>
      </w:hyperlink>
    </w:p>
    <w:p w:rsidR="00355D78" w:rsidRDefault="00355D78" w:rsidP="00355D78">
      <w:pPr>
        <w:shd w:val="clear" w:color="auto" w:fill="FFFFFF"/>
        <w:spacing w:after="270"/>
        <w:rPr>
          <w:color w:val="000000"/>
          <w:sz w:val="27"/>
          <w:szCs w:val="27"/>
        </w:rPr>
      </w:pPr>
      <w:r>
        <w:rPr>
          <w:color w:val="000000"/>
          <w:sz w:val="27"/>
          <w:szCs w:val="27"/>
        </w:rPr>
        <w:t>  </w:t>
      </w:r>
      <w:r>
        <w:rPr>
          <w:rFonts w:ascii="Courier New" w:hAnsi="Courier New" w:cs="Courier New"/>
          <w:color w:val="000000"/>
        </w:rPr>
        <w:t>Văzând Referatul de aprobare nr. VSC 3.378 din 11.03.2020 al Direcţiei generale de asistenţă medicală şi sănătate publică din cadrul Ministerul Sănătăţii,</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în temeiul</w:t>
      </w:r>
      <w:r>
        <w:rPr>
          <w:rFonts w:ascii="Cambria Math" w:hAnsi="Cambria Math" w:cs="Cambria Math"/>
          <w:color w:val="000000"/>
        </w:rPr>
        <w:t> </w:t>
      </w:r>
      <w:r>
        <w:rPr>
          <w:rFonts w:ascii="Cambria Math" w:hAnsi="Cambria Math" w:cs="Cambria Math"/>
          <w:color w:val="000000"/>
        </w:rPr>
        <w:t> </w:t>
      </w:r>
      <w:r>
        <w:rPr>
          <w:rFonts w:ascii="Courier New" w:hAnsi="Courier New" w:cs="Courier New"/>
          <w:color w:val="000000"/>
        </w:rPr>
        <w:t> </w:t>
      </w:r>
      <w:bookmarkStart w:id="0" w:name="REF0"/>
      <w:bookmarkEnd w:id="0"/>
      <w:r>
        <w:rPr>
          <w:rStyle w:val="panchor"/>
          <w:rFonts w:ascii="Courier New" w:hAnsi="Courier New" w:cs="Courier New"/>
        </w:rPr>
        <w:t>art. 8 din Ordonanţa de urgenţă a Guvernului nr. 11/2020</w:t>
      </w:r>
      <w:r>
        <w:rPr>
          <w:rFonts w:ascii="Courier New" w:hAnsi="Courier New" w:cs="Courier New"/>
          <w:color w:val="000000"/>
        </w:rPr>
        <w:t> privind stocurile de urgenţă medicală, precum şi unele măsuri aferente instituirii carantinei,</w:t>
      </w:r>
      <w:r>
        <w:rPr>
          <w:color w:val="000000"/>
          <w:sz w:val="27"/>
          <w:szCs w:val="27"/>
        </w:rPr>
        <w:br/>
      </w:r>
      <w:r>
        <w:rPr>
          <w:rFonts w:ascii="Courier New" w:hAnsi="Courier New" w:cs="Courier New"/>
          <w:color w:val="000000"/>
        </w:rPr>
        <w:t>având în vedere prevederile</w:t>
      </w:r>
      <w:r>
        <w:rPr>
          <w:rFonts w:ascii="Cambria Math" w:hAnsi="Cambria Math" w:cs="Cambria Math"/>
          <w:color w:val="000000"/>
        </w:rPr>
        <w:t> </w:t>
      </w:r>
      <w:r>
        <w:rPr>
          <w:rFonts w:ascii="Cambria Math" w:hAnsi="Cambria Math" w:cs="Cambria Math"/>
          <w:color w:val="000000"/>
        </w:rPr>
        <w:t> </w:t>
      </w:r>
      <w:r>
        <w:rPr>
          <w:rFonts w:ascii="Courier New" w:hAnsi="Courier New" w:cs="Courier New"/>
          <w:color w:val="000000"/>
        </w:rPr>
        <w:t> </w:t>
      </w:r>
      <w:bookmarkStart w:id="1" w:name="REF1"/>
      <w:bookmarkEnd w:id="1"/>
      <w:r>
        <w:rPr>
          <w:rStyle w:val="panchor"/>
          <w:rFonts w:ascii="Courier New" w:hAnsi="Courier New" w:cs="Courier New"/>
        </w:rPr>
        <w:t>art. 31 paragraful (2) lit. c) din Regulamentul sanitar internaţional 2005</w:t>
      </w:r>
      <w:r>
        <w:rPr>
          <w:rFonts w:ascii="Courier New" w:hAnsi="Courier New" w:cs="Courier New"/>
          <w:color w:val="000000"/>
        </w:rPr>
        <w:t>, pus în aplicare prin </w:t>
      </w:r>
      <w:bookmarkStart w:id="2" w:name="REF2"/>
      <w:bookmarkEnd w:id="2"/>
      <w:r>
        <w:rPr>
          <w:rStyle w:val="panchor"/>
          <w:rFonts w:ascii="Courier New" w:hAnsi="Courier New" w:cs="Courier New"/>
        </w:rPr>
        <w:t>Hotărârea Guvernului nr. 758/2009</w:t>
      </w:r>
      <w:r>
        <w:rPr>
          <w:rFonts w:ascii="Courier New" w:hAnsi="Courier New" w:cs="Courier New"/>
          <w:color w:val="000000"/>
        </w:rPr>
        <w:t>,</w:t>
      </w:r>
      <w:r>
        <w:rPr>
          <w:color w:val="000000"/>
          <w:sz w:val="27"/>
          <w:szCs w:val="27"/>
        </w:rPr>
        <w:br/>
      </w:r>
      <w:r>
        <w:rPr>
          <w:rFonts w:ascii="Courier New" w:hAnsi="Courier New" w:cs="Courier New"/>
          <w:color w:val="000000"/>
        </w:rPr>
        <w:t>ţinând cont de prevederile</w:t>
      </w:r>
      <w:r>
        <w:rPr>
          <w:rFonts w:ascii="Cambria Math" w:hAnsi="Cambria Math" w:cs="Cambria Math"/>
          <w:color w:val="000000"/>
        </w:rPr>
        <w:t> </w:t>
      </w:r>
      <w:r>
        <w:rPr>
          <w:rFonts w:ascii="Cambria Math" w:hAnsi="Cambria Math" w:cs="Cambria Math"/>
          <w:color w:val="000000"/>
        </w:rPr>
        <w:t> </w:t>
      </w:r>
      <w:r>
        <w:rPr>
          <w:rFonts w:ascii="Courier New" w:hAnsi="Courier New" w:cs="Courier New"/>
          <w:color w:val="000000"/>
        </w:rPr>
        <w:t> </w:t>
      </w:r>
      <w:bookmarkStart w:id="3" w:name="REF3"/>
      <w:bookmarkEnd w:id="3"/>
      <w:r>
        <w:rPr>
          <w:rStyle w:val="panchor"/>
          <w:rFonts w:ascii="Courier New" w:hAnsi="Courier New" w:cs="Courier New"/>
        </w:rPr>
        <w:t>art. 25 alin. (2)</w:t>
      </w:r>
      <w:r>
        <w:rPr>
          <w:rFonts w:ascii="Courier New" w:hAnsi="Courier New" w:cs="Courier New"/>
          <w:color w:val="000000"/>
        </w:rPr>
        <w:t> ale </w:t>
      </w:r>
      <w:bookmarkStart w:id="4" w:name="REF4"/>
      <w:bookmarkEnd w:id="4"/>
      <w:r>
        <w:rPr>
          <w:rStyle w:val="panchor"/>
          <w:rFonts w:ascii="Courier New" w:hAnsi="Courier New" w:cs="Courier New"/>
        </w:rPr>
        <w:t>art. 27 alin. (5)</w:t>
      </w:r>
      <w:r>
        <w:rPr>
          <w:rFonts w:ascii="Courier New" w:hAnsi="Courier New" w:cs="Courier New"/>
          <w:color w:val="000000"/>
        </w:rPr>
        <w:t> şi ale </w:t>
      </w:r>
      <w:bookmarkStart w:id="5" w:name="REF5"/>
      <w:bookmarkEnd w:id="5"/>
      <w:r>
        <w:rPr>
          <w:rStyle w:val="panchor"/>
          <w:rFonts w:ascii="Courier New" w:hAnsi="Courier New" w:cs="Courier New"/>
        </w:rPr>
        <w:t>art. 78 din Legea nr. 95/2006</w:t>
      </w:r>
      <w:r>
        <w:rPr>
          <w:rFonts w:ascii="Courier New" w:hAnsi="Courier New" w:cs="Courier New"/>
          <w:color w:val="000000"/>
        </w:rPr>
        <w:t> privind reforma în domeniul sănătăţii, republicată, cu modificările şi completările ulterioare,</w:t>
      </w:r>
      <w:r>
        <w:rPr>
          <w:color w:val="000000"/>
          <w:sz w:val="27"/>
          <w:szCs w:val="27"/>
        </w:rPr>
        <w:br/>
      </w:r>
      <w:r>
        <w:rPr>
          <w:rFonts w:ascii="Courier New" w:hAnsi="Courier New" w:cs="Courier New"/>
          <w:color w:val="000000"/>
        </w:rPr>
        <w:t>în temeiul</w:t>
      </w:r>
      <w:r>
        <w:rPr>
          <w:rFonts w:ascii="Cambria Math" w:hAnsi="Cambria Math" w:cs="Cambria Math"/>
          <w:color w:val="000000"/>
        </w:rPr>
        <w:t> </w:t>
      </w:r>
      <w:r>
        <w:rPr>
          <w:rFonts w:ascii="Cambria Math" w:hAnsi="Cambria Math" w:cs="Cambria Math"/>
          <w:color w:val="000000"/>
        </w:rPr>
        <w:t> </w:t>
      </w:r>
      <w:r>
        <w:rPr>
          <w:rFonts w:ascii="Courier New" w:hAnsi="Courier New" w:cs="Courier New"/>
          <w:color w:val="000000"/>
        </w:rPr>
        <w:t> </w:t>
      </w:r>
      <w:bookmarkStart w:id="6" w:name="REF6"/>
      <w:bookmarkEnd w:id="6"/>
      <w:r>
        <w:rPr>
          <w:rStyle w:val="panchor"/>
          <w:rFonts w:ascii="Courier New" w:hAnsi="Courier New" w:cs="Courier New"/>
        </w:rPr>
        <w:t>art. 7 alin. (4) din Hotărârea Guvernului nr. 144/2010</w:t>
      </w:r>
      <w:r>
        <w:rPr>
          <w:rFonts w:ascii="Courier New" w:hAnsi="Courier New" w:cs="Courier New"/>
          <w:color w:val="000000"/>
        </w:rPr>
        <w:t> privind organizarea şi funcţionarea Ministerului Sănătăţii, cu modificările şi completările ulterioare,</w:t>
      </w:r>
      <w:r>
        <w:rPr>
          <w:color w:val="000000"/>
          <w:sz w:val="27"/>
          <w:szCs w:val="27"/>
        </w:rPr>
        <w:br/>
      </w:r>
      <w:r>
        <w:rPr>
          <w:rFonts w:ascii="Courier New" w:hAnsi="Courier New" w:cs="Courier New"/>
          <w:color w:val="000000"/>
        </w:rPr>
        <w:t>ministrul sănătăţii emite următorul ordin:</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7" w:name="A1"/>
      <w:r>
        <w:rPr>
          <w:rFonts w:ascii="Courier New" w:hAnsi="Courier New" w:cs="Courier New"/>
          <w:color w:val="0000FF"/>
        </w:rPr>
        <w:t>ART. 1</w:t>
      </w:r>
      <w:r>
        <w:rPr>
          <w:color w:val="000000"/>
          <w:sz w:val="27"/>
          <w:szCs w:val="27"/>
        </w:rPr>
        <w:br/>
      </w:r>
      <w:r>
        <w:rPr>
          <w:rFonts w:ascii="Courier New" w:hAnsi="Courier New" w:cs="Courier New"/>
          <w:color w:val="000000"/>
        </w:rPr>
        <w:t>(1) În înţelesul prezentului ordin, prin carantină se înţelege atât instituirea măsurii de carantină instituţionalizată (în spaţii special amenajate), cât şi instituirea măsurii de izolare la domiciliu.</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(2) Se instituie măsura de carantină instituţionalizată pentru persoanele asimptomatice care intră pe teritoriul României venind din zonele cu transmitere comunitară extinsă afectate de COVID-19 (zona roşie), pentru o perioadă de 14 zile, în spaţii special amenajate puse la dispoziţie de către autorităţile locale.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(3) Se instituie măsura de izolare la domiciliu următoarelor categorii de persoane: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a) persoane care au călătorit în ultimele 14 zile în localităţi din zonele afectate de COVID-19, altele decât cele cu transmitere comunitară extinsă (zona galbenă);</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 xml:space="preserve">b) persoane care au intrat în contact direct cu persoanele cu </w:t>
      </w:r>
      <w:r>
        <w:rPr>
          <w:rFonts w:ascii="Courier New" w:hAnsi="Courier New" w:cs="Courier New"/>
          <w:color w:val="000000"/>
        </w:rPr>
        <w:lastRenderedPageBreak/>
        <w:t>simptome şi care au călătorit în zone cu transmitere comunitară extinsă;</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c) persoane care au intrat în contact direct cu persoanele care au fost confirmate cu coronavirus (COVID-19);</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d) membri de familie ai unei persoane care se încadrează în una dintre situaţiile de mai sus.</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(4) Categoriile de persoane nominalizate la alin. (3) se vor izola la domiciliu 14 zile, timp în care vor fi monitorizate de către direcţiile de sănătate publică şi/sau prin intermediul medicului de familie. Persoanele menţionate la lit. b) pot ieşi din izolarea la domiciliu dacă suspiciunea de infecţie cu COVID-19 la persoana simptomatică cu care au avut contact direct este infirmată.</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(5) Pentru scopul prezentului ordin, domiciliul este considerat ca fiind adresa furnizată în chestionarul completat la punctul de frontieră, respectiv adresa unde locuiesc persoanele din categoriile menţionate.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(6) Persoanelor aflate în izolare la domiciliu li se vor pune la dispoziţie informaţii detaliate referitoare la măsurile de igienă individuală ce trebuie respectate.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8" w:name="A2"/>
      <w:r>
        <w:rPr>
          <w:rFonts w:ascii="Courier New" w:hAnsi="Courier New" w:cs="Courier New"/>
          <w:color w:val="0000FF"/>
        </w:rPr>
        <w:t>ART. 2</w:t>
      </w:r>
      <w:bookmarkEnd w:id="8"/>
      <w:r>
        <w:rPr>
          <w:color w:val="000000"/>
          <w:sz w:val="27"/>
          <w:szCs w:val="27"/>
        </w:rPr>
        <w:br/>
      </w:r>
      <w:r>
        <w:rPr>
          <w:rFonts w:ascii="Courier New" w:hAnsi="Courier New" w:cs="Courier New"/>
          <w:color w:val="000000"/>
        </w:rPr>
        <w:t>(1) Lista zonelor cu transmitere comunitară extinsă (zona roşie) şi a celor afectate (zona galbenă) este disponibilă pe site-ul www.insp.gov.ro/cnscbt şi se actualizează ori de câte ori este nevoie.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(2) Definiţia de caz pentru infecţia COVID-19 este postată la adresa www.insp.gov.ro/cnscbt şi se actualizează ori de câte ori este nevoie.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9" w:name="A3"/>
      <w:r>
        <w:rPr>
          <w:rFonts w:ascii="Courier New" w:hAnsi="Courier New" w:cs="Courier New"/>
          <w:color w:val="0000FF"/>
        </w:rPr>
        <w:t>ART. 3</w:t>
      </w:r>
      <w:bookmarkEnd w:id="9"/>
      <w:r>
        <w:rPr>
          <w:color w:val="000000"/>
          <w:sz w:val="27"/>
          <w:szCs w:val="27"/>
        </w:rPr>
        <w:br/>
      </w:r>
      <w:r>
        <w:rPr>
          <w:rFonts w:ascii="Courier New" w:hAnsi="Courier New" w:cs="Courier New"/>
          <w:color w:val="000000"/>
        </w:rPr>
        <w:t>Transportul persoanelor care urmează să intre în carantină instituţionalizată de la punctul de trecere a frontierei către zona de carantină instituţionalizată se va face cu un mijloc de transport special dedicat, stabilit de către direcţia de sănătate publică împreună cu autoritatea publică locală de pe teritoriul căreia se află punctul vamal.</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10" w:name="A4"/>
      <w:r>
        <w:rPr>
          <w:rFonts w:ascii="Courier New" w:hAnsi="Courier New" w:cs="Courier New"/>
          <w:color w:val="0000FF"/>
        </w:rPr>
        <w:t>ART. 4</w:t>
      </w:r>
      <w:bookmarkEnd w:id="10"/>
      <w:r>
        <w:rPr>
          <w:color w:val="000000"/>
          <w:sz w:val="27"/>
          <w:szCs w:val="27"/>
        </w:rPr>
        <w:br/>
      </w:r>
      <w:r>
        <w:rPr>
          <w:rFonts w:ascii="Courier New" w:hAnsi="Courier New" w:cs="Courier New"/>
          <w:color w:val="000000"/>
        </w:rPr>
        <w:t>(1) Direcţiile de sănătate publică judeţene şi cea a municipiului Bucureşti, în colaborare cu autorităţile publice locale, identifică şi organizează spaţii de carantinare instituţionalizată în fiecare judeţ.</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(2) În scopul asigurării asistenţei medicale a persoanelor carantinate, direcţiile de sănătate publică judeţene şi cea a municipiului Bucureşti nominalizează unităţile sanitare responsabile de acordarea asistenţei medicale de pe raza judeţului, respectiv a municipiului Bucureşti.</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11" w:name="A5"/>
      <w:r>
        <w:rPr>
          <w:rFonts w:ascii="Courier New" w:hAnsi="Courier New" w:cs="Courier New"/>
          <w:color w:val="0000FF"/>
        </w:rPr>
        <w:t>ART. 5</w:t>
      </w:r>
      <w:bookmarkEnd w:id="11"/>
      <w:r>
        <w:rPr>
          <w:color w:val="000000"/>
          <w:sz w:val="27"/>
          <w:szCs w:val="27"/>
        </w:rPr>
        <w:br/>
      </w:r>
      <w:r>
        <w:rPr>
          <w:rFonts w:ascii="Courier New" w:hAnsi="Courier New" w:cs="Courier New"/>
          <w:color w:val="000000"/>
        </w:rPr>
        <w:t xml:space="preserve">(1) Asiguraţii cărora li se aplică măsura de carantinare instituţionalizată în spaţiile special amenajate şi persoanele cărora li se interzice continuarea activităţii prin instituirea </w:t>
      </w:r>
      <w:r>
        <w:rPr>
          <w:rFonts w:ascii="Courier New" w:hAnsi="Courier New" w:cs="Courier New"/>
          <w:color w:val="000000"/>
        </w:rPr>
        <w:lastRenderedPageBreak/>
        <w:t>măsurii de izolare la domiciliu beneficiază de concediu şi indemnizaţie de carantină pentru perioada stabilită prin documentul eliberat de direcţiile de sănătate publică, în conformitate cu</w:t>
      </w:r>
      <w:r>
        <w:rPr>
          <w:rFonts w:ascii="Cambria Math" w:hAnsi="Cambria Math" w:cs="Cambria Math"/>
          <w:color w:val="000000"/>
        </w:rPr>
        <w:t> </w:t>
      </w:r>
      <w:r>
        <w:rPr>
          <w:rFonts w:ascii="Cambria Math" w:hAnsi="Cambria Math" w:cs="Cambria Math"/>
          <w:color w:val="000000"/>
        </w:rPr>
        <w:t> </w:t>
      </w:r>
      <w:r>
        <w:rPr>
          <w:rFonts w:ascii="Courier New" w:hAnsi="Courier New" w:cs="Courier New"/>
          <w:color w:val="000000"/>
        </w:rPr>
        <w:t> </w:t>
      </w:r>
      <w:bookmarkStart w:id="12" w:name="REF7"/>
      <w:bookmarkEnd w:id="12"/>
      <w:r>
        <w:rPr>
          <w:rStyle w:val="panchor"/>
          <w:rFonts w:ascii="Courier New" w:hAnsi="Courier New" w:cs="Courier New"/>
        </w:rPr>
        <w:t>Ordonanţa de urgenţă a Guvernului nr. 158/2005</w:t>
      </w:r>
      <w:r>
        <w:rPr>
          <w:rFonts w:ascii="Courier New" w:hAnsi="Courier New" w:cs="Courier New"/>
          <w:color w:val="000000"/>
        </w:rPr>
        <w:t> privind concediile şi indemnizaţiile de asigurări sociale de sănătate, aprobată cu modificări şi completări prin </w:t>
      </w:r>
      <w:bookmarkStart w:id="13" w:name="REF8"/>
      <w:bookmarkEnd w:id="13"/>
      <w:r>
        <w:rPr>
          <w:rStyle w:val="panchor"/>
          <w:rFonts w:ascii="Courier New" w:hAnsi="Courier New" w:cs="Courier New"/>
        </w:rPr>
        <w:t>Legea nr. 399/2006</w:t>
      </w:r>
      <w:r>
        <w:rPr>
          <w:rFonts w:ascii="Courier New" w:hAnsi="Courier New" w:cs="Courier New"/>
          <w:color w:val="000000"/>
        </w:rPr>
        <w:t>, cu modificările şi completările ulterioare.</w:t>
      </w:r>
      <w:r>
        <w:rPr>
          <w:color w:val="000000"/>
          <w:sz w:val="27"/>
          <w:szCs w:val="27"/>
        </w:rPr>
        <w:br/>
      </w:r>
      <w:r>
        <w:rPr>
          <w:rFonts w:ascii="Courier New" w:hAnsi="Courier New" w:cs="Courier New"/>
          <w:color w:val="000000"/>
        </w:rPr>
        <w:t>(2) Direcţiile de sănătate publică judeţene şi cea a municipiului Bucureşti au obligaţia ca, la ieşirea din carantină, să elibereze persoanelor ce s-au aflat în această situaţie un aviz epidemiologic de ieşire din carantină, prevăzut în anexa ce face parte integrantă din prezentul ordin.</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(3) Medicii de familie care au monitorizat persoanele cărora li s-a instituit măsura de izolare la domiciliu au obligaţia ca, la ieşirea din izolarea la domiciliu, să elibereze persoanelor ce s-au aflat în această situaţie un aviz epidemiologic de ieşire din izolare la domiciliu. În cazul persoanelor care nu au medic de familie monitorizarea acestora se face de către direcţia de sănătate publică judeţeană, respectiv cea a municipiului Bucureşti, care are în acest caz obligaţia de a elibera avizul epidemiologic de ieşire din izolare.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(4) Nerespectarea măsurilor de carantină, respectiv de izolare la domiciliu, precum şi furnizarea de informaţii false autorităţilor se sancţionează conform legilor în vigoare.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14" w:name="A6"/>
      <w:r>
        <w:rPr>
          <w:rFonts w:ascii="Courier New" w:hAnsi="Courier New" w:cs="Courier New"/>
          <w:color w:val="0000FF"/>
        </w:rPr>
        <w:t>ART. 6</w:t>
      </w:r>
      <w:bookmarkEnd w:id="14"/>
      <w:r>
        <w:rPr>
          <w:color w:val="000000"/>
          <w:sz w:val="27"/>
          <w:szCs w:val="27"/>
        </w:rPr>
        <w:br/>
      </w:r>
      <w:r>
        <w:rPr>
          <w:rFonts w:ascii="Courier New" w:hAnsi="Courier New" w:cs="Courier New"/>
          <w:color w:val="000000"/>
        </w:rPr>
        <w:t>(1) La intrarea în carantină se efectuează un test pentru COVID-19 persoanelor asimptomatice venite din zonele afectate (zonele roşii).</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(2) Ieşirea din carantină se va face după o perioadă de 14 zile dacă persoana este clinic sănătoasă şi după efectuarea a două teste pentru COVID-19 la un interval minim de 24 ore şi care au rezultat negativ.</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(3) Transportul probelor recoltate de la persoanele carantinate se va face în aceleaşi condiţii de siguranţă ca şi probele de gripă, iar testarea se va face la cel mai apropiat laborator care efectuează astfel de testări, la îndrumarea direcţiilor de sănătate publică judeţene şi cea a municipiului Bucureşti.</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(4) Direcţia de sănătate publică judeţeană şi cea a municipiului Bucureşti comunică responsabilului centrului de carantină încheierea perioadei de carantinare şi se deplasează pentru eliberarea avizelor epidemiologice.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(5) Dezinfecţia spaţiilor de carantinare se efectuează de către responsabilul centrului sub îndrumarea direcţiei de sănătate publică, după ce persoana/persoanele va/vor părăsi spaţiul.</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15" w:name="A7"/>
      <w:r>
        <w:rPr>
          <w:rFonts w:ascii="Courier New" w:hAnsi="Courier New" w:cs="Courier New"/>
          <w:color w:val="0000FF"/>
        </w:rPr>
        <w:t>ART. 7</w:t>
      </w:r>
      <w:bookmarkEnd w:id="15"/>
      <w:r>
        <w:rPr>
          <w:color w:val="000000"/>
          <w:sz w:val="27"/>
          <w:szCs w:val="27"/>
        </w:rPr>
        <w:br/>
      </w:r>
      <w:r>
        <w:rPr>
          <w:rFonts w:ascii="Courier New" w:hAnsi="Courier New" w:cs="Courier New"/>
          <w:color w:val="000000"/>
        </w:rPr>
        <w:t xml:space="preserve">(1) Persoanele simptomatice care întrunesc criteriile definiţiei de caz vor fi izolate în secţiile/spitalele de boli infecţioase unde li se vor recolta probe biologice, conform metodologiei de supraveghere în vigoare, aflată pe site-ul Institutului Naţional de Sănătate </w:t>
      </w:r>
      <w:r>
        <w:rPr>
          <w:rFonts w:ascii="Courier New" w:hAnsi="Courier New" w:cs="Courier New"/>
          <w:color w:val="000000"/>
        </w:rPr>
        <w:lastRenderedPageBreak/>
        <w:t>Publică - Centrul Naţional de Supraveghere şi Control al Bolilor Transmisibile.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(2) În cazul în care există persoane simptomatice care întrunesc criteriile definiţiei de caz şi care se prezintă într-o altă unitate sanitară, acestea rămân în această unitate, în izolare, şi li se recoltează o probă care va fi transportată la cel mai apropiat spital în care se face testarea pentru COVID-19. Această probă va fi lucrată în regim de urgenţă. În cazul în care testul este pozitiv, pacientul va fi transferat la cea/cel mai apropiată/apropiat secţie/spital de boli infecţioase.</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16" w:name="A8"/>
      <w:r>
        <w:rPr>
          <w:rFonts w:ascii="Courier New" w:hAnsi="Courier New" w:cs="Courier New"/>
          <w:color w:val="0000FF"/>
        </w:rPr>
        <w:t>ART. 8</w:t>
      </w:r>
      <w:bookmarkEnd w:id="16"/>
      <w:r>
        <w:rPr>
          <w:color w:val="000000"/>
          <w:sz w:val="27"/>
          <w:szCs w:val="27"/>
        </w:rPr>
        <w:br/>
      </w:r>
      <w:r>
        <w:rPr>
          <w:rFonts w:ascii="Courier New" w:hAnsi="Courier New" w:cs="Courier New"/>
          <w:color w:val="000000"/>
        </w:rPr>
        <w:t>În funcţie de evoluţia situaţiei epidemiologice şi confirmarea a mai mult de trei cazuri de infecţie cu noul coronavirus, cu legătură epidemiologică între ele, în aceeaşi comunitate, se poate decide declararea carantinei într-o comunitate. Carantinarea unei comunităţi reprezintă izolarea unei zone perfect delimitate şi pentru care se dispune interzicerea intrării şi ieşirii din zonă.</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17" w:name="A9"/>
      <w:r>
        <w:rPr>
          <w:rFonts w:ascii="Courier New" w:hAnsi="Courier New" w:cs="Courier New"/>
          <w:color w:val="0000FF"/>
        </w:rPr>
        <w:t>ART. 9</w:t>
      </w:r>
      <w:bookmarkEnd w:id="17"/>
      <w:r>
        <w:rPr>
          <w:color w:val="000000"/>
          <w:sz w:val="27"/>
          <w:szCs w:val="27"/>
        </w:rPr>
        <w:br/>
      </w:r>
      <w:r>
        <w:rPr>
          <w:rFonts w:ascii="Courier New" w:hAnsi="Courier New" w:cs="Courier New"/>
          <w:color w:val="000000"/>
        </w:rPr>
        <w:t>Direcţiile de sănătate publică judeţene şi cea a municipiului Bucureşti şi direcţiile de specialitate din cadrul Ministerului Sănătăţii vor duce la îndeplinire prevederile prezentului ordin.</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bookmarkStart w:id="18" w:name="A10"/>
      <w:r>
        <w:rPr>
          <w:rFonts w:ascii="Courier New" w:hAnsi="Courier New" w:cs="Courier New"/>
          <w:color w:val="0000FF"/>
        </w:rPr>
        <w:t>ART. 10</w:t>
      </w:r>
      <w:bookmarkEnd w:id="18"/>
      <w:r>
        <w:rPr>
          <w:color w:val="000000"/>
          <w:sz w:val="27"/>
          <w:szCs w:val="27"/>
        </w:rPr>
        <w:br/>
      </w:r>
      <w:r>
        <w:rPr>
          <w:rFonts w:ascii="Courier New" w:hAnsi="Courier New" w:cs="Courier New"/>
          <w:color w:val="000000"/>
        </w:rPr>
        <w:t>Prezentul ordin intră în vigoare la data publicării în Monitorul Oficial al României, Partea I.</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p. Ministrul sănătăţii,</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Horaţiu Moldovan,</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secretar de stat</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Bucureşti, 11 martie 2020.</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Nr. 414.</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ambria Math" w:hAnsi="Cambria Math" w:cs="Cambria Math"/>
          <w:color w:val="0000FF"/>
        </w:rPr>
        <w:t> </w:t>
      </w:r>
      <w:r>
        <w:rPr>
          <w:rFonts w:ascii="Cambria Math" w:hAnsi="Cambria Math" w:cs="Cambria Math"/>
          <w:color w:val="0000FF"/>
        </w:rPr>
        <w:t> </w:t>
      </w:r>
      <w:r>
        <w:rPr>
          <w:rFonts w:ascii="Courier New" w:hAnsi="Courier New" w:cs="Courier New"/>
          <w:color w:val="0000FF"/>
        </w:rPr>
        <w:t>ANEXA 1</w:t>
      </w:r>
      <w:bookmarkEnd w:id="7"/>
    </w:p>
    <w:p w:rsidR="00355D78" w:rsidRPr="00355D78" w:rsidRDefault="00355D78" w:rsidP="00355D78">
      <w:pPr>
        <w:pStyle w:val="HTMLPreformatted"/>
        <w:shd w:val="clear" w:color="auto" w:fill="FFFFFF"/>
        <w:rPr>
          <w:color w:val="000000"/>
        </w:rPr>
      </w:pPr>
      <w:r>
        <w:rPr>
          <w:color w:val="000000"/>
        </w:rPr>
        <w:br/>
      </w:r>
      <w:r>
        <w:rPr>
          <w:color w:val="000000"/>
          <w:sz w:val="22"/>
          <w:szCs w:val="22"/>
        </w:rPr>
        <w:t xml:space="preserve">  </w:t>
      </w:r>
      <w:r>
        <w:rPr>
          <w:color w:val="000000"/>
          <w:sz w:val="27"/>
          <w:szCs w:val="27"/>
        </w:rPr>
        <w:br/>
      </w:r>
      <w:r>
        <w:rPr>
          <w:color w:val="000000"/>
          <w:sz w:val="22"/>
          <w:szCs w:val="22"/>
        </w:rPr>
        <w:t>Judeţul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Localitatea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Unitatea sanitară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Codul numeric personal [ ][ ][ ][ ][ ][ ][ ][ ][ ][ ][ ][ ][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AVIZ EPIDEMIOLOGIC</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anul ............ luna .............. ziua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Numele ..............., prenumele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Prenumele tatălui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Data naşterii: anul .......... luna ........... ziua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Domiciliul: localitatea ..............., str. ....................... nr. ......., bloc .…..................., ap. ......, sectorul/judeţul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A fost izolat la domiciliu/carantinat în spaţiu special amenajat</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A fost monitorizat în perioada: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lastRenderedPageBreak/>
        <w:t>Starea clinică la sfârşitul perioadei de carantinare: .............................................</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S-a eliberat prezenta dovadă de ieşire din carantină pentru a servi la:</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w:t>
      </w:r>
      <w:r>
        <w:rPr>
          <w:rFonts w:ascii="Cambria Math" w:hAnsi="Cambria Math" w:cs="Cambria Math"/>
          <w:color w:val="000000"/>
          <w:sz w:val="22"/>
          <w:szCs w:val="22"/>
        </w:rPr>
        <w:t> </w:t>
      </w:r>
      <w:r>
        <w:rPr>
          <w:rFonts w:ascii="Cambria Math" w:hAnsi="Cambria Math" w:cs="Cambria Math"/>
          <w:color w:val="000000"/>
          <w:sz w:val="22"/>
          <w:szCs w:val="22"/>
        </w:rPr>
        <w:t> </w:t>
      </w:r>
      <w:r>
        <w:rPr>
          <w:color w:val="000000"/>
          <w:sz w:val="27"/>
          <w:szCs w:val="27"/>
        </w:rPr>
        <w:br/>
      </w:r>
      <w:r>
        <w:rPr>
          <w:color w:val="000000"/>
          <w:sz w:val="22"/>
          <w:szCs w:val="22"/>
        </w:rPr>
        <w:t>..............................................................................................</w:t>
      </w:r>
      <w:r>
        <w:rPr>
          <w:rFonts w:ascii="Cambria Math" w:hAnsi="Cambria Math" w:cs="Cambria Math"/>
          <w:color w:val="000000"/>
          <w:sz w:val="22"/>
          <w:szCs w:val="22"/>
        </w:rPr>
        <w:t> </w:t>
      </w:r>
      <w:r>
        <w:rPr>
          <w:rFonts w:ascii="Cambria Math" w:hAnsi="Cambria Math" w:cs="Cambria Math"/>
          <w:color w:val="000000"/>
          <w:sz w:val="22"/>
          <w:szCs w:val="22"/>
        </w:rPr>
        <w:t> </w:t>
      </w:r>
    </w:p>
    <w:p w:rsidR="00355D78" w:rsidRDefault="00355D78" w:rsidP="00355D78">
      <w:pPr>
        <w:pStyle w:val="HTMLPreformatted"/>
        <w:shd w:val="clear" w:color="auto" w:fill="FFFFFF"/>
        <w:rPr>
          <w:color w:val="000000"/>
        </w:rPr>
      </w:pPr>
      <w:r>
        <w:rPr>
          <w:color w:val="000000"/>
        </w:rPr>
        <w:br/>
      </w:r>
      <w:r>
        <w:rPr>
          <w:color w:val="000000"/>
          <w:sz w:val="22"/>
          <w:szCs w:val="22"/>
        </w:rPr>
        <w:t>┌────────────┬─────────────────────────┐</w:t>
      </w:r>
      <w:r>
        <w:rPr>
          <w:color w:val="000000"/>
        </w:rPr>
        <w:br/>
      </w:r>
      <w:r>
        <w:rPr>
          <w:color w:val="000000"/>
          <w:sz w:val="22"/>
          <w:szCs w:val="22"/>
        </w:rPr>
        <w:t>│Data        │Semnătura şi parafa      │</w:t>
      </w:r>
      <w:r>
        <w:rPr>
          <w:color w:val="000000"/>
        </w:rPr>
        <w:br/>
      </w:r>
      <w:r>
        <w:rPr>
          <w:color w:val="000000"/>
          <w:sz w:val="22"/>
          <w:szCs w:val="22"/>
        </w:rPr>
        <w:t>│eliberării  │medicului,               │</w:t>
      </w:r>
      <w:r>
        <w:rPr>
          <w:color w:val="000000"/>
        </w:rPr>
        <w:br/>
      </w:r>
      <w:r>
        <w:rPr>
          <w:color w:val="000000"/>
          <w:sz w:val="22"/>
          <w:szCs w:val="22"/>
        </w:rPr>
        <w:t>│........    │L.S.                     │</w:t>
      </w:r>
      <w:r>
        <w:rPr>
          <w:color w:val="000000"/>
        </w:rPr>
        <w:br/>
      </w:r>
      <w:r>
        <w:rPr>
          <w:color w:val="000000"/>
          <w:sz w:val="22"/>
          <w:szCs w:val="22"/>
        </w:rPr>
        <w:t>│            │........................ │</w:t>
      </w:r>
      <w:r>
        <w:rPr>
          <w:color w:val="000000"/>
        </w:rPr>
        <w:br/>
      </w:r>
      <w:r>
        <w:rPr>
          <w:color w:val="000000"/>
          <w:sz w:val="22"/>
          <w:szCs w:val="22"/>
        </w:rPr>
        <w:t>└────────────┴─────────────────────────┘</w:t>
      </w:r>
    </w:p>
    <w:p w:rsidR="00355D78" w:rsidRDefault="00355D78" w:rsidP="00355D78">
      <w:pPr>
        <w:shd w:val="clear" w:color="auto" w:fill="FFFFFF"/>
        <w:spacing w:after="270"/>
        <w:rPr>
          <w:color w:val="000000"/>
          <w:sz w:val="27"/>
          <w:szCs w:val="27"/>
        </w:rPr>
      </w:pPr>
      <w:r>
        <w:rPr>
          <w:color w:val="000000"/>
          <w:sz w:val="27"/>
          <w:szCs w:val="27"/>
        </w:rPr>
        <w:br/>
      </w:r>
      <w:r>
        <w:rPr>
          <w:rFonts w:ascii="Courier New" w:hAnsi="Courier New" w:cs="Courier New"/>
          <w:color w:val="000000"/>
        </w:rPr>
        <w:t>13.1; A5; t2</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NOTĂ:</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Prin carantină se înţelege atât instituirea măsurii de carantină instituţionalizată (în spaţii special amenajate), cât şi instituirea măsurii de izolare la domiciliu.</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rFonts w:ascii="Courier New" w:hAnsi="Courier New" w:cs="Courier New"/>
          <w:color w:val="000000"/>
        </w:rPr>
        <w:t>----</w:t>
      </w:r>
      <w:r>
        <w:rPr>
          <w:rFonts w:ascii="Cambria Math" w:hAnsi="Cambria Math" w:cs="Cambria Math"/>
          <w:color w:val="000000"/>
        </w:rPr>
        <w:t> </w:t>
      </w:r>
      <w:r>
        <w:rPr>
          <w:rFonts w:ascii="Cambria Math" w:hAnsi="Cambria Math" w:cs="Cambria Math"/>
          <w:color w:val="000000"/>
        </w:rPr>
        <w:t> </w:t>
      </w:r>
      <w:r>
        <w:rPr>
          <w:color w:val="000000"/>
          <w:sz w:val="27"/>
          <w:szCs w:val="27"/>
        </w:rPr>
        <w:br/>
      </w:r>
      <w:r>
        <w:rPr>
          <w:color w:val="000000"/>
          <w:sz w:val="27"/>
          <w:szCs w:val="27"/>
        </w:rPr>
        <w:br/>
      </w:r>
    </w:p>
    <w:p w:rsidR="00355D78" w:rsidRDefault="00355D78" w:rsidP="00355D78">
      <w:pPr>
        <w:spacing w:after="0"/>
        <w:rPr>
          <w:sz w:val="24"/>
          <w:szCs w:val="24"/>
        </w:rPr>
      </w:pPr>
      <w:r>
        <w:rPr>
          <w:color w:val="000000"/>
          <w:sz w:val="27"/>
          <w:szCs w:val="27"/>
        </w:rPr>
        <w:t>  </w:t>
      </w:r>
    </w:p>
    <w:p w:rsidR="00355D78" w:rsidRDefault="00355D78" w:rsidP="00355D78">
      <w:pPr>
        <w:rPr>
          <w:rFonts w:ascii="Verdana" w:hAnsi="Verdana"/>
          <w:b/>
          <w:bCs/>
          <w:color w:val="000000"/>
        </w:rPr>
      </w:pPr>
      <w:r>
        <w:rPr>
          <w:rFonts w:ascii="Verdana" w:hAnsi="Verdana"/>
          <w:b/>
          <w:bCs/>
          <w:color w:val="000000"/>
        </w:rPr>
        <w:t>HOTĂRÂRE (A) 144 23/02/2010</w:t>
      </w:r>
    </w:p>
    <w:p w:rsidR="00355D78" w:rsidRDefault="00355D78" w:rsidP="00355D78">
      <w:pPr>
        <w:rPr>
          <w:rFonts w:ascii="Times New Roman" w:hAnsi="Times New Roman"/>
          <w:color w:val="000000"/>
          <w:sz w:val="27"/>
          <w:szCs w:val="27"/>
        </w:rPr>
      </w:pPr>
      <w:r>
        <w:rPr>
          <w:noProof/>
          <w:color w:val="000000"/>
          <w:sz w:val="27"/>
          <w:szCs w:val="27"/>
        </w:rPr>
        <w:drawing>
          <wp:inline distT="0" distB="0" distL="0" distR="0">
            <wp:extent cx="180975" cy="180975"/>
            <wp:effectExtent l="0" t="0" r="9525" b="0"/>
            <wp:docPr id="1" name="Picture 1" descr="http://www.legisplus.ro/Intralegis6/oficiale/image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plus.ro/Intralegis6/oficiale/images/button.png"/>
                    <pic:cNvPicPr>
                      <a:picLocks noChangeAspect="1" noChangeArrowheads="1"/>
                    </pic:cNvPicPr>
                  </pic:nvPicPr>
                  <pic:blipFill>
                    <a:blip r:embed="rId6"/>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355D78" w:rsidRDefault="00355D78" w:rsidP="00355D78">
      <w:pPr>
        <w:rPr>
          <w:rFonts w:ascii="Verdana" w:hAnsi="Verdana"/>
          <w:color w:val="000000"/>
          <w:sz w:val="17"/>
          <w:szCs w:val="17"/>
        </w:rPr>
      </w:pPr>
      <w:r>
        <w:rPr>
          <w:rFonts w:ascii="Verdana" w:hAnsi="Verdana"/>
          <w:color w:val="000000"/>
          <w:sz w:val="17"/>
          <w:szCs w:val="17"/>
        </w:rPr>
        <w:t>ART. 7</w:t>
      </w:r>
      <w:r>
        <w:rPr>
          <w:rFonts w:ascii="Verdana" w:hAnsi="Verdana"/>
          <w:color w:val="000000"/>
          <w:sz w:val="17"/>
          <w:szCs w:val="17"/>
        </w:rPr>
        <w:br/>
      </w:r>
      <w:r>
        <w:rPr>
          <w:rFonts w:ascii="Courier New" w:hAnsi="Courier New" w:cs="Courier New"/>
          <w:color w:val="000000"/>
        </w:rPr>
        <w:t>    (1) Conducerea Ministerului Sănătăţii se exercită de către ministrul sănătăţii.</w:t>
      </w:r>
      <w:r>
        <w:rPr>
          <w:rFonts w:ascii="Verdana" w:hAnsi="Verdana"/>
          <w:color w:val="000000"/>
          <w:sz w:val="17"/>
          <w:szCs w:val="17"/>
        </w:rPr>
        <w:br/>
      </w:r>
      <w:r>
        <w:rPr>
          <w:rFonts w:ascii="Courier New" w:hAnsi="Courier New" w:cs="Courier New"/>
          <w:color w:val="000000"/>
        </w:rPr>
        <w:t>    (2) Ministrul sănătăţii conduce activitatea ministerului şi îl reprezintă în raporturile cu celelalte ministere, cu alte autorităţi şi organizaţii, precum şi cu persoane fizice sau juridice din ţară ori din străinătate.</w:t>
      </w:r>
      <w:r>
        <w:rPr>
          <w:rFonts w:ascii="Verdana" w:hAnsi="Verdana"/>
          <w:color w:val="000000"/>
          <w:sz w:val="17"/>
          <w:szCs w:val="17"/>
        </w:rPr>
        <w:br/>
      </w:r>
      <w:r>
        <w:rPr>
          <w:rFonts w:ascii="Courier New" w:hAnsi="Courier New" w:cs="Courier New"/>
          <w:color w:val="000000"/>
        </w:rPr>
        <w:t>    (3) Ministrul sănătăţii este ordonator principal de credite şi poate delega prin ordin, în limitele şi în condiţiile prevăzute de lege, această calitate.</w:t>
      </w:r>
      <w:r>
        <w:rPr>
          <w:rFonts w:ascii="Verdana" w:hAnsi="Verdana"/>
          <w:color w:val="000000"/>
          <w:sz w:val="17"/>
          <w:szCs w:val="17"/>
        </w:rPr>
        <w:br/>
      </w:r>
      <w:r>
        <w:rPr>
          <w:rFonts w:ascii="Courier New" w:hAnsi="Courier New" w:cs="Courier New"/>
          <w:color w:val="000000"/>
        </w:rPr>
        <w:t>    (4) În exercitarea atribuţiilor sale, ministrul sănătăţii emite ordine, instrucţiuni şi alte acte cu caracter normativ, prevăzute de lege.</w:t>
      </w:r>
      <w:r>
        <w:rPr>
          <w:rFonts w:ascii="Verdana" w:hAnsi="Verdana"/>
          <w:strike/>
          <w:color w:val="000000"/>
          <w:sz w:val="17"/>
          <w:szCs w:val="17"/>
        </w:rPr>
        <w:br/>
      </w:r>
      <w:r>
        <w:rPr>
          <w:rFonts w:ascii="Courier New" w:hAnsi="Courier New" w:cs="Courier New"/>
          <w:strike/>
          <w:color w:val="FF0000"/>
        </w:rPr>
        <w:lastRenderedPageBreak/>
        <w:t>   (5) În îndeplinirea atribuţiilor sale, ministrul sănătăţii este ajutat de 3 secretari de stat, de un subsecretar de stat, de un secretar general şi de un secretar general adjunct.</w:t>
      </w:r>
    </w:p>
    <w:p w:rsidR="00A201C9" w:rsidRPr="004023BD" w:rsidRDefault="00A201C9" w:rsidP="00355D78">
      <w:pPr>
        <w:rPr>
          <w:szCs w:val="24"/>
        </w:rPr>
      </w:pPr>
    </w:p>
    <w:sectPr w:rsidR="00A201C9" w:rsidRPr="004023BD" w:rsidSect="00777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457B"/>
    <w:multiLevelType w:val="multilevel"/>
    <w:tmpl w:val="6CCC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C66C8"/>
    <w:multiLevelType w:val="multilevel"/>
    <w:tmpl w:val="C2D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11CE3"/>
    <w:multiLevelType w:val="multilevel"/>
    <w:tmpl w:val="44A2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F5E2D"/>
    <w:multiLevelType w:val="multilevel"/>
    <w:tmpl w:val="53F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76FEB"/>
    <w:rsid w:val="00021A43"/>
    <w:rsid w:val="00025D5F"/>
    <w:rsid w:val="00030964"/>
    <w:rsid w:val="0005117C"/>
    <w:rsid w:val="000600CD"/>
    <w:rsid w:val="0009700F"/>
    <w:rsid w:val="000D4BFD"/>
    <w:rsid w:val="001B085B"/>
    <w:rsid w:val="001B5837"/>
    <w:rsid w:val="002103B1"/>
    <w:rsid w:val="00244B4B"/>
    <w:rsid w:val="00280F20"/>
    <w:rsid w:val="002F2132"/>
    <w:rsid w:val="002F2B44"/>
    <w:rsid w:val="003230B6"/>
    <w:rsid w:val="00355D78"/>
    <w:rsid w:val="003F3C60"/>
    <w:rsid w:val="004023BD"/>
    <w:rsid w:val="0042223B"/>
    <w:rsid w:val="0042250C"/>
    <w:rsid w:val="0042257D"/>
    <w:rsid w:val="00426AFE"/>
    <w:rsid w:val="00471F0C"/>
    <w:rsid w:val="004C6EC4"/>
    <w:rsid w:val="005342EC"/>
    <w:rsid w:val="00543CDC"/>
    <w:rsid w:val="00594C37"/>
    <w:rsid w:val="00616088"/>
    <w:rsid w:val="00640F5B"/>
    <w:rsid w:val="00676FEB"/>
    <w:rsid w:val="00684E9A"/>
    <w:rsid w:val="006B2B5F"/>
    <w:rsid w:val="006B6B02"/>
    <w:rsid w:val="006D5A4C"/>
    <w:rsid w:val="00777788"/>
    <w:rsid w:val="007B143B"/>
    <w:rsid w:val="007C729E"/>
    <w:rsid w:val="007D0154"/>
    <w:rsid w:val="007F2BA5"/>
    <w:rsid w:val="00816311"/>
    <w:rsid w:val="008568B8"/>
    <w:rsid w:val="008711C7"/>
    <w:rsid w:val="008C4804"/>
    <w:rsid w:val="008D2C60"/>
    <w:rsid w:val="008E44F2"/>
    <w:rsid w:val="00980BCB"/>
    <w:rsid w:val="009A62DE"/>
    <w:rsid w:val="00A201C9"/>
    <w:rsid w:val="00A57C6F"/>
    <w:rsid w:val="00BF6C95"/>
    <w:rsid w:val="00C10CCA"/>
    <w:rsid w:val="00C97335"/>
    <w:rsid w:val="00CA2A50"/>
    <w:rsid w:val="00CA5353"/>
    <w:rsid w:val="00CF2F5B"/>
    <w:rsid w:val="00DF18D7"/>
    <w:rsid w:val="00E16733"/>
    <w:rsid w:val="00F03488"/>
    <w:rsid w:val="00F15D14"/>
    <w:rsid w:val="00F40C8B"/>
    <w:rsid w:val="00F528D1"/>
    <w:rsid w:val="00F64226"/>
    <w:rsid w:val="00F75824"/>
    <w:rsid w:val="00F77F19"/>
    <w:rsid w:val="00FB36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FEB"/>
    <w:pPr>
      <w:spacing w:after="0" w:line="240" w:lineRule="auto"/>
    </w:pPr>
  </w:style>
  <w:style w:type="character" w:customStyle="1" w:styleId="apple-converted-space">
    <w:name w:val="apple-converted-space"/>
    <w:basedOn w:val="DefaultParagraphFont"/>
    <w:rsid w:val="00CF2F5B"/>
  </w:style>
  <w:style w:type="character" w:styleId="Hyperlink">
    <w:name w:val="Hyperlink"/>
    <w:basedOn w:val="DefaultParagraphFont"/>
    <w:uiPriority w:val="99"/>
    <w:semiHidden/>
    <w:unhideWhenUsed/>
    <w:rsid w:val="003F3C60"/>
    <w:rPr>
      <w:color w:val="0000FF"/>
      <w:u w:val="single"/>
    </w:rPr>
  </w:style>
  <w:style w:type="character" w:customStyle="1" w:styleId="panchor">
    <w:name w:val="panchor"/>
    <w:basedOn w:val="DefaultParagraphFont"/>
    <w:rsid w:val="003F3C60"/>
  </w:style>
  <w:style w:type="paragraph" w:styleId="HTMLPreformatted">
    <w:name w:val="HTML Preformatted"/>
    <w:basedOn w:val="Normal"/>
    <w:link w:val="HTMLPreformattedChar"/>
    <w:uiPriority w:val="99"/>
    <w:unhideWhenUsed/>
    <w:rsid w:val="00F15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D14"/>
    <w:rPr>
      <w:rFonts w:ascii="Courier New" w:eastAsia="Times New Roman" w:hAnsi="Courier New" w:cs="Courier New"/>
      <w:sz w:val="20"/>
      <w:szCs w:val="20"/>
    </w:rPr>
  </w:style>
  <w:style w:type="character" w:customStyle="1" w:styleId="enn">
    <w:name w:val="en_n"/>
    <w:basedOn w:val="DefaultParagraphFont"/>
    <w:rsid w:val="000600CD"/>
  </w:style>
  <w:style w:type="character" w:customStyle="1" w:styleId="df">
    <w:name w:val="d_f"/>
    <w:basedOn w:val="DefaultParagraphFont"/>
    <w:rsid w:val="000600CD"/>
  </w:style>
  <w:style w:type="character" w:customStyle="1" w:styleId="ge">
    <w:name w:val="g_e"/>
    <w:basedOn w:val="DefaultParagraphFont"/>
    <w:rsid w:val="000600CD"/>
  </w:style>
  <w:style w:type="character" w:customStyle="1" w:styleId="ub">
    <w:name w:val="u_b"/>
    <w:basedOn w:val="DefaultParagraphFont"/>
    <w:rsid w:val="000600CD"/>
  </w:style>
  <w:style w:type="character" w:customStyle="1" w:styleId="un">
    <w:name w:val="u_n"/>
    <w:basedOn w:val="DefaultParagraphFont"/>
    <w:rsid w:val="000600CD"/>
  </w:style>
  <w:style w:type="character" w:customStyle="1" w:styleId="c4z2avtcy">
    <w:name w:val="c4_z2avtcy"/>
    <w:basedOn w:val="DefaultParagraphFont"/>
    <w:rsid w:val="000600CD"/>
  </w:style>
  <w:style w:type="character" w:customStyle="1" w:styleId="efq7">
    <w:name w:val="e_fq7"/>
    <w:basedOn w:val="DefaultParagraphFont"/>
    <w:rsid w:val="000600CD"/>
  </w:style>
  <w:style w:type="paragraph" w:styleId="NormalWeb">
    <w:name w:val="Normal (Web)"/>
    <w:basedOn w:val="Normal"/>
    <w:uiPriority w:val="99"/>
    <w:semiHidden/>
    <w:unhideWhenUsed/>
    <w:rsid w:val="00060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4053265msonormal">
    <w:name w:val="yiv7264053265msonormal"/>
    <w:basedOn w:val="Normal"/>
    <w:rsid w:val="000600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98493">
      <w:bodyDiv w:val="1"/>
      <w:marLeft w:val="0"/>
      <w:marRight w:val="0"/>
      <w:marTop w:val="0"/>
      <w:marBottom w:val="0"/>
      <w:divBdr>
        <w:top w:val="none" w:sz="0" w:space="0" w:color="auto"/>
        <w:left w:val="none" w:sz="0" w:space="0" w:color="auto"/>
        <w:bottom w:val="none" w:sz="0" w:space="0" w:color="auto"/>
        <w:right w:val="none" w:sz="0" w:space="0" w:color="auto"/>
      </w:divBdr>
      <w:divsChild>
        <w:div w:id="275255982">
          <w:marLeft w:val="0"/>
          <w:marRight w:val="0"/>
          <w:marTop w:val="0"/>
          <w:marBottom w:val="0"/>
          <w:divBdr>
            <w:top w:val="single" w:sz="48" w:space="0" w:color="F0F0F0"/>
            <w:left w:val="none" w:sz="0" w:space="0" w:color="auto"/>
            <w:bottom w:val="none" w:sz="0" w:space="0" w:color="auto"/>
            <w:right w:val="none" w:sz="0" w:space="0" w:color="auto"/>
          </w:divBdr>
          <w:divsChild>
            <w:div w:id="127163624">
              <w:marLeft w:val="0"/>
              <w:marRight w:val="0"/>
              <w:marTop w:val="0"/>
              <w:marBottom w:val="0"/>
              <w:divBdr>
                <w:top w:val="none" w:sz="0" w:space="0" w:color="auto"/>
                <w:left w:val="none" w:sz="0" w:space="0" w:color="auto"/>
                <w:bottom w:val="none" w:sz="0" w:space="0" w:color="auto"/>
                <w:right w:val="none" w:sz="0" w:space="0" w:color="auto"/>
              </w:divBdr>
            </w:div>
            <w:div w:id="1688362870">
              <w:marLeft w:val="0"/>
              <w:marRight w:val="0"/>
              <w:marTop w:val="0"/>
              <w:marBottom w:val="0"/>
              <w:divBdr>
                <w:top w:val="none" w:sz="0" w:space="0" w:color="auto"/>
                <w:left w:val="none" w:sz="0" w:space="0" w:color="auto"/>
                <w:bottom w:val="none" w:sz="0" w:space="0" w:color="auto"/>
                <w:right w:val="none" w:sz="0" w:space="0" w:color="auto"/>
              </w:divBdr>
            </w:div>
            <w:div w:id="1352492338">
              <w:marLeft w:val="0"/>
              <w:marRight w:val="0"/>
              <w:marTop w:val="0"/>
              <w:marBottom w:val="0"/>
              <w:divBdr>
                <w:top w:val="none" w:sz="0" w:space="0" w:color="auto"/>
                <w:left w:val="none" w:sz="0" w:space="0" w:color="auto"/>
                <w:bottom w:val="none" w:sz="0" w:space="0" w:color="auto"/>
                <w:right w:val="none" w:sz="0" w:space="0" w:color="auto"/>
              </w:divBdr>
            </w:div>
            <w:div w:id="1178696486">
              <w:marLeft w:val="0"/>
              <w:marRight w:val="0"/>
              <w:marTop w:val="0"/>
              <w:marBottom w:val="0"/>
              <w:divBdr>
                <w:top w:val="none" w:sz="0" w:space="0" w:color="auto"/>
                <w:left w:val="none" w:sz="0" w:space="0" w:color="auto"/>
                <w:bottom w:val="none" w:sz="0" w:space="0" w:color="auto"/>
                <w:right w:val="none" w:sz="0" w:space="0" w:color="auto"/>
              </w:divBdr>
            </w:div>
          </w:divsChild>
        </w:div>
        <w:div w:id="440076489">
          <w:marLeft w:val="0"/>
          <w:marRight w:val="0"/>
          <w:marTop w:val="0"/>
          <w:marBottom w:val="0"/>
          <w:divBdr>
            <w:top w:val="none" w:sz="0" w:space="0" w:color="auto"/>
            <w:left w:val="none" w:sz="0" w:space="0" w:color="auto"/>
            <w:bottom w:val="none" w:sz="0" w:space="0" w:color="auto"/>
            <w:right w:val="none" w:sz="0" w:space="0" w:color="auto"/>
          </w:divBdr>
          <w:divsChild>
            <w:div w:id="232131916">
              <w:marLeft w:val="0"/>
              <w:marRight w:val="0"/>
              <w:marTop w:val="0"/>
              <w:marBottom w:val="0"/>
              <w:divBdr>
                <w:top w:val="none" w:sz="0" w:space="0" w:color="auto"/>
                <w:left w:val="none" w:sz="0" w:space="0" w:color="auto"/>
                <w:bottom w:val="none" w:sz="0" w:space="0" w:color="auto"/>
                <w:right w:val="none" w:sz="0" w:space="0" w:color="auto"/>
              </w:divBdr>
              <w:divsChild>
                <w:div w:id="444233507">
                  <w:marLeft w:val="0"/>
                  <w:marRight w:val="0"/>
                  <w:marTop w:val="0"/>
                  <w:marBottom w:val="0"/>
                  <w:divBdr>
                    <w:top w:val="none" w:sz="0" w:space="0" w:color="auto"/>
                    <w:left w:val="none" w:sz="0" w:space="0" w:color="auto"/>
                    <w:bottom w:val="none" w:sz="0" w:space="0" w:color="auto"/>
                    <w:right w:val="none" w:sz="0" w:space="0" w:color="auto"/>
                  </w:divBdr>
                </w:div>
                <w:div w:id="6270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5187">
      <w:bodyDiv w:val="1"/>
      <w:marLeft w:val="0"/>
      <w:marRight w:val="0"/>
      <w:marTop w:val="0"/>
      <w:marBottom w:val="0"/>
      <w:divBdr>
        <w:top w:val="none" w:sz="0" w:space="0" w:color="auto"/>
        <w:left w:val="none" w:sz="0" w:space="0" w:color="auto"/>
        <w:bottom w:val="none" w:sz="0" w:space="0" w:color="auto"/>
        <w:right w:val="none" w:sz="0" w:space="0" w:color="auto"/>
      </w:divBdr>
      <w:divsChild>
        <w:div w:id="199557248">
          <w:marLeft w:val="0"/>
          <w:marRight w:val="0"/>
          <w:marTop w:val="0"/>
          <w:marBottom w:val="0"/>
          <w:divBdr>
            <w:top w:val="none" w:sz="0" w:space="0" w:color="auto"/>
            <w:left w:val="none" w:sz="0" w:space="0" w:color="auto"/>
            <w:bottom w:val="none" w:sz="0" w:space="0" w:color="auto"/>
            <w:right w:val="none" w:sz="0" w:space="0" w:color="auto"/>
          </w:divBdr>
          <w:divsChild>
            <w:div w:id="2142065426">
              <w:marLeft w:val="0"/>
              <w:marRight w:val="0"/>
              <w:marTop w:val="0"/>
              <w:marBottom w:val="0"/>
              <w:divBdr>
                <w:top w:val="none" w:sz="0" w:space="0" w:color="auto"/>
                <w:left w:val="none" w:sz="0" w:space="0" w:color="auto"/>
                <w:bottom w:val="none" w:sz="0" w:space="0" w:color="auto"/>
                <w:right w:val="none" w:sz="0" w:space="0" w:color="auto"/>
              </w:divBdr>
              <w:divsChild>
                <w:div w:id="540484370">
                  <w:marLeft w:val="0"/>
                  <w:marRight w:val="0"/>
                  <w:marTop w:val="0"/>
                  <w:marBottom w:val="0"/>
                  <w:divBdr>
                    <w:top w:val="none" w:sz="0" w:space="0" w:color="auto"/>
                    <w:left w:val="none" w:sz="0" w:space="0" w:color="auto"/>
                    <w:bottom w:val="none" w:sz="0" w:space="0" w:color="auto"/>
                    <w:right w:val="none" w:sz="0" w:space="0" w:color="auto"/>
                  </w:divBdr>
                  <w:divsChild>
                    <w:div w:id="156045360">
                      <w:marLeft w:val="0"/>
                      <w:marRight w:val="0"/>
                      <w:marTop w:val="0"/>
                      <w:marBottom w:val="0"/>
                      <w:divBdr>
                        <w:top w:val="none" w:sz="0" w:space="0" w:color="auto"/>
                        <w:left w:val="none" w:sz="0" w:space="0" w:color="auto"/>
                        <w:bottom w:val="none" w:sz="0" w:space="0" w:color="auto"/>
                        <w:right w:val="none" w:sz="0" w:space="0" w:color="auto"/>
                      </w:divBdr>
                      <w:divsChild>
                        <w:div w:id="2127192011">
                          <w:marLeft w:val="0"/>
                          <w:marRight w:val="0"/>
                          <w:marTop w:val="0"/>
                          <w:marBottom w:val="0"/>
                          <w:divBdr>
                            <w:top w:val="none" w:sz="0" w:space="0" w:color="auto"/>
                            <w:left w:val="none" w:sz="0" w:space="0" w:color="auto"/>
                            <w:bottom w:val="none" w:sz="0" w:space="0" w:color="auto"/>
                            <w:right w:val="none" w:sz="0" w:space="0" w:color="auto"/>
                          </w:divBdr>
                          <w:divsChild>
                            <w:div w:id="555092969">
                              <w:marLeft w:val="0"/>
                              <w:marRight w:val="0"/>
                              <w:marTop w:val="0"/>
                              <w:marBottom w:val="0"/>
                              <w:divBdr>
                                <w:top w:val="none" w:sz="0" w:space="0" w:color="auto"/>
                                <w:left w:val="none" w:sz="0" w:space="0" w:color="auto"/>
                                <w:bottom w:val="none" w:sz="0" w:space="0" w:color="auto"/>
                                <w:right w:val="none" w:sz="0" w:space="0" w:color="auto"/>
                              </w:divBdr>
                              <w:divsChild>
                                <w:div w:id="1238781848">
                                  <w:marLeft w:val="0"/>
                                  <w:marRight w:val="0"/>
                                  <w:marTop w:val="0"/>
                                  <w:marBottom w:val="0"/>
                                  <w:divBdr>
                                    <w:top w:val="none" w:sz="0" w:space="0" w:color="auto"/>
                                    <w:left w:val="none" w:sz="0" w:space="0" w:color="auto"/>
                                    <w:bottom w:val="none" w:sz="0" w:space="0" w:color="auto"/>
                                    <w:right w:val="none" w:sz="0" w:space="0" w:color="auto"/>
                                  </w:divBdr>
                                </w:div>
                                <w:div w:id="446043683">
                                  <w:marLeft w:val="0"/>
                                  <w:marRight w:val="0"/>
                                  <w:marTop w:val="0"/>
                                  <w:marBottom w:val="0"/>
                                  <w:divBdr>
                                    <w:top w:val="none" w:sz="0" w:space="0" w:color="auto"/>
                                    <w:left w:val="none" w:sz="0" w:space="0" w:color="auto"/>
                                    <w:bottom w:val="none" w:sz="0" w:space="0" w:color="auto"/>
                                    <w:right w:val="none" w:sz="0" w:space="0" w:color="auto"/>
                                  </w:divBdr>
                                </w:div>
                                <w:div w:id="1232159103">
                                  <w:marLeft w:val="0"/>
                                  <w:marRight w:val="0"/>
                                  <w:marTop w:val="0"/>
                                  <w:marBottom w:val="0"/>
                                  <w:divBdr>
                                    <w:top w:val="none" w:sz="0" w:space="0" w:color="auto"/>
                                    <w:left w:val="none" w:sz="0" w:space="0" w:color="auto"/>
                                    <w:bottom w:val="none" w:sz="0" w:space="0" w:color="auto"/>
                                    <w:right w:val="none" w:sz="0" w:space="0" w:color="auto"/>
                                  </w:divBdr>
                                </w:div>
                                <w:div w:id="1122184869">
                                  <w:marLeft w:val="0"/>
                                  <w:marRight w:val="0"/>
                                  <w:marTop w:val="0"/>
                                  <w:marBottom w:val="0"/>
                                  <w:divBdr>
                                    <w:top w:val="none" w:sz="0" w:space="0" w:color="auto"/>
                                    <w:left w:val="none" w:sz="0" w:space="0" w:color="auto"/>
                                    <w:bottom w:val="none" w:sz="0" w:space="0" w:color="auto"/>
                                    <w:right w:val="none" w:sz="0" w:space="0" w:color="auto"/>
                                  </w:divBdr>
                                </w:div>
                                <w:div w:id="344946960">
                                  <w:marLeft w:val="0"/>
                                  <w:marRight w:val="0"/>
                                  <w:marTop w:val="0"/>
                                  <w:marBottom w:val="0"/>
                                  <w:divBdr>
                                    <w:top w:val="none" w:sz="0" w:space="0" w:color="auto"/>
                                    <w:left w:val="none" w:sz="0" w:space="0" w:color="auto"/>
                                    <w:bottom w:val="none" w:sz="0" w:space="0" w:color="auto"/>
                                    <w:right w:val="none" w:sz="0" w:space="0" w:color="auto"/>
                                  </w:divBdr>
                                </w:div>
                                <w:div w:id="259726759">
                                  <w:marLeft w:val="0"/>
                                  <w:marRight w:val="0"/>
                                  <w:marTop w:val="0"/>
                                  <w:marBottom w:val="0"/>
                                  <w:divBdr>
                                    <w:top w:val="none" w:sz="0" w:space="0" w:color="auto"/>
                                    <w:left w:val="none" w:sz="0" w:space="0" w:color="auto"/>
                                    <w:bottom w:val="none" w:sz="0" w:space="0" w:color="auto"/>
                                    <w:right w:val="none" w:sz="0" w:space="0" w:color="auto"/>
                                  </w:divBdr>
                                </w:div>
                                <w:div w:id="591091953">
                                  <w:marLeft w:val="0"/>
                                  <w:marRight w:val="0"/>
                                  <w:marTop w:val="0"/>
                                  <w:marBottom w:val="0"/>
                                  <w:divBdr>
                                    <w:top w:val="none" w:sz="0" w:space="0" w:color="auto"/>
                                    <w:left w:val="none" w:sz="0" w:space="0" w:color="auto"/>
                                    <w:bottom w:val="none" w:sz="0" w:space="0" w:color="auto"/>
                                    <w:right w:val="none" w:sz="0" w:space="0" w:color="auto"/>
                                  </w:divBdr>
                                </w:div>
                                <w:div w:id="870537784">
                                  <w:marLeft w:val="0"/>
                                  <w:marRight w:val="0"/>
                                  <w:marTop w:val="0"/>
                                  <w:marBottom w:val="0"/>
                                  <w:divBdr>
                                    <w:top w:val="none" w:sz="0" w:space="0" w:color="auto"/>
                                    <w:left w:val="none" w:sz="0" w:space="0" w:color="auto"/>
                                    <w:bottom w:val="none" w:sz="0" w:space="0" w:color="auto"/>
                                    <w:right w:val="none" w:sz="0" w:space="0" w:color="auto"/>
                                  </w:divBdr>
                                </w:div>
                                <w:div w:id="1053627011">
                                  <w:marLeft w:val="0"/>
                                  <w:marRight w:val="0"/>
                                  <w:marTop w:val="0"/>
                                  <w:marBottom w:val="0"/>
                                  <w:divBdr>
                                    <w:top w:val="none" w:sz="0" w:space="0" w:color="auto"/>
                                    <w:left w:val="none" w:sz="0" w:space="0" w:color="auto"/>
                                    <w:bottom w:val="none" w:sz="0" w:space="0" w:color="auto"/>
                                    <w:right w:val="none" w:sz="0" w:space="0" w:color="auto"/>
                                  </w:divBdr>
                                </w:div>
                                <w:div w:id="1061559796">
                                  <w:marLeft w:val="0"/>
                                  <w:marRight w:val="0"/>
                                  <w:marTop w:val="0"/>
                                  <w:marBottom w:val="0"/>
                                  <w:divBdr>
                                    <w:top w:val="none" w:sz="0" w:space="0" w:color="auto"/>
                                    <w:left w:val="none" w:sz="0" w:space="0" w:color="auto"/>
                                    <w:bottom w:val="none" w:sz="0" w:space="0" w:color="auto"/>
                                    <w:right w:val="none" w:sz="0" w:space="0" w:color="auto"/>
                                  </w:divBdr>
                                </w:div>
                                <w:div w:id="506946576">
                                  <w:marLeft w:val="0"/>
                                  <w:marRight w:val="0"/>
                                  <w:marTop w:val="0"/>
                                  <w:marBottom w:val="0"/>
                                  <w:divBdr>
                                    <w:top w:val="none" w:sz="0" w:space="0" w:color="auto"/>
                                    <w:left w:val="none" w:sz="0" w:space="0" w:color="auto"/>
                                    <w:bottom w:val="none" w:sz="0" w:space="0" w:color="auto"/>
                                    <w:right w:val="none" w:sz="0" w:space="0" w:color="auto"/>
                                  </w:divBdr>
                                </w:div>
                                <w:div w:id="1551721077">
                                  <w:marLeft w:val="0"/>
                                  <w:marRight w:val="0"/>
                                  <w:marTop w:val="0"/>
                                  <w:marBottom w:val="0"/>
                                  <w:divBdr>
                                    <w:top w:val="none" w:sz="0" w:space="0" w:color="auto"/>
                                    <w:left w:val="none" w:sz="0" w:space="0" w:color="auto"/>
                                    <w:bottom w:val="none" w:sz="0" w:space="0" w:color="auto"/>
                                    <w:right w:val="none" w:sz="0" w:space="0" w:color="auto"/>
                                  </w:divBdr>
                                </w:div>
                                <w:div w:id="381366433">
                                  <w:marLeft w:val="0"/>
                                  <w:marRight w:val="0"/>
                                  <w:marTop w:val="0"/>
                                  <w:marBottom w:val="0"/>
                                  <w:divBdr>
                                    <w:top w:val="none" w:sz="0" w:space="0" w:color="auto"/>
                                    <w:left w:val="none" w:sz="0" w:space="0" w:color="auto"/>
                                    <w:bottom w:val="none" w:sz="0" w:space="0" w:color="auto"/>
                                    <w:right w:val="none" w:sz="0" w:space="0" w:color="auto"/>
                                  </w:divBdr>
                                </w:div>
                                <w:div w:id="103885853">
                                  <w:marLeft w:val="0"/>
                                  <w:marRight w:val="0"/>
                                  <w:marTop w:val="0"/>
                                  <w:marBottom w:val="0"/>
                                  <w:divBdr>
                                    <w:top w:val="none" w:sz="0" w:space="0" w:color="auto"/>
                                    <w:left w:val="none" w:sz="0" w:space="0" w:color="auto"/>
                                    <w:bottom w:val="none" w:sz="0" w:space="0" w:color="auto"/>
                                    <w:right w:val="none" w:sz="0" w:space="0" w:color="auto"/>
                                  </w:divBdr>
                                </w:div>
                                <w:div w:id="1207067570">
                                  <w:marLeft w:val="0"/>
                                  <w:marRight w:val="0"/>
                                  <w:marTop w:val="0"/>
                                  <w:marBottom w:val="0"/>
                                  <w:divBdr>
                                    <w:top w:val="none" w:sz="0" w:space="0" w:color="auto"/>
                                    <w:left w:val="none" w:sz="0" w:space="0" w:color="auto"/>
                                    <w:bottom w:val="none" w:sz="0" w:space="0" w:color="auto"/>
                                    <w:right w:val="none" w:sz="0" w:space="0" w:color="auto"/>
                                  </w:divBdr>
                                </w:div>
                                <w:div w:id="1396734235">
                                  <w:marLeft w:val="0"/>
                                  <w:marRight w:val="0"/>
                                  <w:marTop w:val="0"/>
                                  <w:marBottom w:val="0"/>
                                  <w:divBdr>
                                    <w:top w:val="none" w:sz="0" w:space="0" w:color="auto"/>
                                    <w:left w:val="none" w:sz="0" w:space="0" w:color="auto"/>
                                    <w:bottom w:val="none" w:sz="0" w:space="0" w:color="auto"/>
                                    <w:right w:val="none" w:sz="0" w:space="0" w:color="auto"/>
                                  </w:divBdr>
                                </w:div>
                                <w:div w:id="708385064">
                                  <w:marLeft w:val="0"/>
                                  <w:marRight w:val="0"/>
                                  <w:marTop w:val="0"/>
                                  <w:marBottom w:val="0"/>
                                  <w:divBdr>
                                    <w:top w:val="none" w:sz="0" w:space="0" w:color="auto"/>
                                    <w:left w:val="none" w:sz="0" w:space="0" w:color="auto"/>
                                    <w:bottom w:val="none" w:sz="0" w:space="0" w:color="auto"/>
                                    <w:right w:val="none" w:sz="0" w:space="0" w:color="auto"/>
                                  </w:divBdr>
                                </w:div>
                                <w:div w:id="399211699">
                                  <w:marLeft w:val="0"/>
                                  <w:marRight w:val="0"/>
                                  <w:marTop w:val="0"/>
                                  <w:marBottom w:val="0"/>
                                  <w:divBdr>
                                    <w:top w:val="none" w:sz="0" w:space="0" w:color="auto"/>
                                    <w:left w:val="none" w:sz="0" w:space="0" w:color="auto"/>
                                    <w:bottom w:val="none" w:sz="0" w:space="0" w:color="auto"/>
                                    <w:right w:val="none" w:sz="0" w:space="0" w:color="auto"/>
                                  </w:divBdr>
                                </w:div>
                                <w:div w:id="212233799">
                                  <w:marLeft w:val="0"/>
                                  <w:marRight w:val="0"/>
                                  <w:marTop w:val="0"/>
                                  <w:marBottom w:val="0"/>
                                  <w:divBdr>
                                    <w:top w:val="none" w:sz="0" w:space="0" w:color="auto"/>
                                    <w:left w:val="none" w:sz="0" w:space="0" w:color="auto"/>
                                    <w:bottom w:val="none" w:sz="0" w:space="0" w:color="auto"/>
                                    <w:right w:val="none" w:sz="0" w:space="0" w:color="auto"/>
                                  </w:divBdr>
                                </w:div>
                                <w:div w:id="1256476028">
                                  <w:marLeft w:val="0"/>
                                  <w:marRight w:val="0"/>
                                  <w:marTop w:val="0"/>
                                  <w:marBottom w:val="0"/>
                                  <w:divBdr>
                                    <w:top w:val="none" w:sz="0" w:space="0" w:color="auto"/>
                                    <w:left w:val="none" w:sz="0" w:space="0" w:color="auto"/>
                                    <w:bottom w:val="none" w:sz="0" w:space="0" w:color="auto"/>
                                    <w:right w:val="none" w:sz="0" w:space="0" w:color="auto"/>
                                  </w:divBdr>
                                </w:div>
                                <w:div w:id="1029910234">
                                  <w:marLeft w:val="0"/>
                                  <w:marRight w:val="0"/>
                                  <w:marTop w:val="0"/>
                                  <w:marBottom w:val="0"/>
                                  <w:divBdr>
                                    <w:top w:val="none" w:sz="0" w:space="0" w:color="auto"/>
                                    <w:left w:val="none" w:sz="0" w:space="0" w:color="auto"/>
                                    <w:bottom w:val="none" w:sz="0" w:space="0" w:color="auto"/>
                                    <w:right w:val="none" w:sz="0" w:space="0" w:color="auto"/>
                                  </w:divBdr>
                                </w:div>
                                <w:div w:id="1750276161">
                                  <w:marLeft w:val="0"/>
                                  <w:marRight w:val="0"/>
                                  <w:marTop w:val="0"/>
                                  <w:marBottom w:val="0"/>
                                  <w:divBdr>
                                    <w:top w:val="none" w:sz="0" w:space="0" w:color="auto"/>
                                    <w:left w:val="none" w:sz="0" w:space="0" w:color="auto"/>
                                    <w:bottom w:val="none" w:sz="0" w:space="0" w:color="auto"/>
                                    <w:right w:val="none" w:sz="0" w:space="0" w:color="auto"/>
                                  </w:divBdr>
                                </w:div>
                                <w:div w:id="2077779726">
                                  <w:marLeft w:val="0"/>
                                  <w:marRight w:val="0"/>
                                  <w:marTop w:val="0"/>
                                  <w:marBottom w:val="0"/>
                                  <w:divBdr>
                                    <w:top w:val="none" w:sz="0" w:space="0" w:color="auto"/>
                                    <w:left w:val="none" w:sz="0" w:space="0" w:color="auto"/>
                                    <w:bottom w:val="none" w:sz="0" w:space="0" w:color="auto"/>
                                    <w:right w:val="none" w:sz="0" w:space="0" w:color="auto"/>
                                  </w:divBdr>
                                </w:div>
                                <w:div w:id="8308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310445">
      <w:bodyDiv w:val="1"/>
      <w:marLeft w:val="0"/>
      <w:marRight w:val="0"/>
      <w:marTop w:val="0"/>
      <w:marBottom w:val="0"/>
      <w:divBdr>
        <w:top w:val="none" w:sz="0" w:space="0" w:color="auto"/>
        <w:left w:val="none" w:sz="0" w:space="0" w:color="auto"/>
        <w:bottom w:val="none" w:sz="0" w:space="0" w:color="auto"/>
        <w:right w:val="none" w:sz="0" w:space="0" w:color="auto"/>
      </w:divBdr>
      <w:divsChild>
        <w:div w:id="619608391">
          <w:marLeft w:val="0"/>
          <w:marRight w:val="0"/>
          <w:marTop w:val="0"/>
          <w:marBottom w:val="0"/>
          <w:divBdr>
            <w:top w:val="none" w:sz="0" w:space="0" w:color="auto"/>
            <w:left w:val="none" w:sz="0" w:space="0" w:color="auto"/>
            <w:bottom w:val="none" w:sz="0" w:space="0" w:color="auto"/>
            <w:right w:val="none" w:sz="0" w:space="0" w:color="auto"/>
          </w:divBdr>
        </w:div>
        <w:div w:id="1145052709">
          <w:marLeft w:val="0"/>
          <w:marRight w:val="0"/>
          <w:marTop w:val="0"/>
          <w:marBottom w:val="0"/>
          <w:divBdr>
            <w:top w:val="none" w:sz="0" w:space="0" w:color="auto"/>
            <w:left w:val="none" w:sz="0" w:space="0" w:color="auto"/>
            <w:bottom w:val="none" w:sz="0" w:space="0" w:color="auto"/>
            <w:right w:val="none" w:sz="0" w:space="0" w:color="auto"/>
          </w:divBdr>
        </w:div>
        <w:div w:id="1984002843">
          <w:marLeft w:val="0"/>
          <w:marRight w:val="0"/>
          <w:marTop w:val="0"/>
          <w:marBottom w:val="0"/>
          <w:divBdr>
            <w:top w:val="none" w:sz="0" w:space="0" w:color="auto"/>
            <w:left w:val="none" w:sz="0" w:space="0" w:color="auto"/>
            <w:bottom w:val="none" w:sz="0" w:space="0" w:color="auto"/>
            <w:right w:val="none" w:sz="0" w:space="0" w:color="auto"/>
          </w:divBdr>
        </w:div>
        <w:div w:id="1601327340">
          <w:marLeft w:val="0"/>
          <w:marRight w:val="0"/>
          <w:marTop w:val="0"/>
          <w:marBottom w:val="0"/>
          <w:divBdr>
            <w:top w:val="none" w:sz="0" w:space="0" w:color="auto"/>
            <w:left w:val="none" w:sz="0" w:space="0" w:color="auto"/>
            <w:bottom w:val="none" w:sz="0" w:space="0" w:color="auto"/>
            <w:right w:val="none" w:sz="0" w:space="0" w:color="auto"/>
          </w:divBdr>
        </w:div>
        <w:div w:id="112215260">
          <w:marLeft w:val="0"/>
          <w:marRight w:val="0"/>
          <w:marTop w:val="0"/>
          <w:marBottom w:val="0"/>
          <w:divBdr>
            <w:top w:val="none" w:sz="0" w:space="0" w:color="auto"/>
            <w:left w:val="none" w:sz="0" w:space="0" w:color="auto"/>
            <w:bottom w:val="none" w:sz="0" w:space="0" w:color="auto"/>
            <w:right w:val="none" w:sz="0" w:space="0" w:color="auto"/>
          </w:divBdr>
        </w:div>
        <w:div w:id="929044754">
          <w:marLeft w:val="0"/>
          <w:marRight w:val="0"/>
          <w:marTop w:val="0"/>
          <w:marBottom w:val="0"/>
          <w:divBdr>
            <w:top w:val="none" w:sz="0" w:space="0" w:color="auto"/>
            <w:left w:val="none" w:sz="0" w:space="0" w:color="auto"/>
            <w:bottom w:val="none" w:sz="0" w:space="0" w:color="auto"/>
            <w:right w:val="none" w:sz="0" w:space="0" w:color="auto"/>
          </w:divBdr>
        </w:div>
        <w:div w:id="1776901440">
          <w:marLeft w:val="0"/>
          <w:marRight w:val="0"/>
          <w:marTop w:val="0"/>
          <w:marBottom w:val="0"/>
          <w:divBdr>
            <w:top w:val="none" w:sz="0" w:space="0" w:color="auto"/>
            <w:left w:val="none" w:sz="0" w:space="0" w:color="auto"/>
            <w:bottom w:val="none" w:sz="0" w:space="0" w:color="auto"/>
            <w:right w:val="none" w:sz="0" w:space="0" w:color="auto"/>
          </w:divBdr>
        </w:div>
        <w:div w:id="370421361">
          <w:marLeft w:val="0"/>
          <w:marRight w:val="0"/>
          <w:marTop w:val="0"/>
          <w:marBottom w:val="0"/>
          <w:divBdr>
            <w:top w:val="none" w:sz="0" w:space="0" w:color="auto"/>
            <w:left w:val="none" w:sz="0" w:space="0" w:color="auto"/>
            <w:bottom w:val="none" w:sz="0" w:space="0" w:color="auto"/>
            <w:right w:val="none" w:sz="0" w:space="0" w:color="auto"/>
          </w:divBdr>
        </w:div>
      </w:divsChild>
    </w:div>
    <w:div w:id="966938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47">
          <w:marLeft w:val="0"/>
          <w:marRight w:val="0"/>
          <w:marTop w:val="0"/>
          <w:marBottom w:val="0"/>
          <w:divBdr>
            <w:top w:val="none" w:sz="0" w:space="0" w:color="auto"/>
            <w:left w:val="none" w:sz="0" w:space="0" w:color="auto"/>
            <w:bottom w:val="none" w:sz="0" w:space="0" w:color="auto"/>
            <w:right w:val="none" w:sz="0" w:space="0" w:color="auto"/>
          </w:divBdr>
        </w:div>
        <w:div w:id="1430589511">
          <w:marLeft w:val="0"/>
          <w:marRight w:val="0"/>
          <w:marTop w:val="0"/>
          <w:marBottom w:val="0"/>
          <w:divBdr>
            <w:top w:val="none" w:sz="0" w:space="0" w:color="auto"/>
            <w:left w:val="none" w:sz="0" w:space="0" w:color="auto"/>
            <w:bottom w:val="none" w:sz="0" w:space="0" w:color="auto"/>
            <w:right w:val="none" w:sz="0" w:space="0" w:color="auto"/>
          </w:divBdr>
        </w:div>
        <w:div w:id="1995406072">
          <w:marLeft w:val="0"/>
          <w:marRight w:val="0"/>
          <w:marTop w:val="0"/>
          <w:marBottom w:val="0"/>
          <w:divBdr>
            <w:top w:val="none" w:sz="0" w:space="0" w:color="auto"/>
            <w:left w:val="none" w:sz="0" w:space="0" w:color="auto"/>
            <w:bottom w:val="none" w:sz="0" w:space="0" w:color="auto"/>
            <w:right w:val="none" w:sz="0" w:space="0" w:color="auto"/>
          </w:divBdr>
        </w:div>
        <w:div w:id="611209137">
          <w:marLeft w:val="0"/>
          <w:marRight w:val="0"/>
          <w:marTop w:val="0"/>
          <w:marBottom w:val="0"/>
          <w:divBdr>
            <w:top w:val="none" w:sz="0" w:space="0" w:color="auto"/>
            <w:left w:val="none" w:sz="0" w:space="0" w:color="auto"/>
            <w:bottom w:val="none" w:sz="0" w:space="0" w:color="auto"/>
            <w:right w:val="none" w:sz="0" w:space="0" w:color="auto"/>
          </w:divBdr>
        </w:div>
        <w:div w:id="1803040737">
          <w:marLeft w:val="0"/>
          <w:marRight w:val="0"/>
          <w:marTop w:val="0"/>
          <w:marBottom w:val="0"/>
          <w:divBdr>
            <w:top w:val="none" w:sz="0" w:space="0" w:color="auto"/>
            <w:left w:val="none" w:sz="0" w:space="0" w:color="auto"/>
            <w:bottom w:val="none" w:sz="0" w:space="0" w:color="auto"/>
            <w:right w:val="none" w:sz="0" w:space="0" w:color="auto"/>
          </w:divBdr>
        </w:div>
        <w:div w:id="1348562584">
          <w:marLeft w:val="0"/>
          <w:marRight w:val="0"/>
          <w:marTop w:val="0"/>
          <w:marBottom w:val="0"/>
          <w:divBdr>
            <w:top w:val="none" w:sz="0" w:space="0" w:color="auto"/>
            <w:left w:val="none" w:sz="0" w:space="0" w:color="auto"/>
            <w:bottom w:val="none" w:sz="0" w:space="0" w:color="auto"/>
            <w:right w:val="none" w:sz="0" w:space="0" w:color="auto"/>
          </w:divBdr>
        </w:div>
        <w:div w:id="1580481653">
          <w:marLeft w:val="0"/>
          <w:marRight w:val="0"/>
          <w:marTop w:val="0"/>
          <w:marBottom w:val="0"/>
          <w:divBdr>
            <w:top w:val="none" w:sz="0" w:space="0" w:color="auto"/>
            <w:left w:val="none" w:sz="0" w:space="0" w:color="auto"/>
            <w:bottom w:val="none" w:sz="0" w:space="0" w:color="auto"/>
            <w:right w:val="none" w:sz="0" w:space="0" w:color="auto"/>
          </w:divBdr>
        </w:div>
        <w:div w:id="1802964971">
          <w:marLeft w:val="0"/>
          <w:marRight w:val="0"/>
          <w:marTop w:val="0"/>
          <w:marBottom w:val="0"/>
          <w:divBdr>
            <w:top w:val="none" w:sz="0" w:space="0" w:color="auto"/>
            <w:left w:val="none" w:sz="0" w:space="0" w:color="auto"/>
            <w:bottom w:val="none" w:sz="0" w:space="0" w:color="auto"/>
            <w:right w:val="none" w:sz="0" w:space="0" w:color="auto"/>
          </w:divBdr>
        </w:div>
        <w:div w:id="647899107">
          <w:marLeft w:val="0"/>
          <w:marRight w:val="0"/>
          <w:marTop w:val="0"/>
          <w:marBottom w:val="0"/>
          <w:divBdr>
            <w:top w:val="none" w:sz="0" w:space="0" w:color="auto"/>
            <w:left w:val="none" w:sz="0" w:space="0" w:color="auto"/>
            <w:bottom w:val="none" w:sz="0" w:space="0" w:color="auto"/>
            <w:right w:val="none" w:sz="0" w:space="0" w:color="auto"/>
          </w:divBdr>
        </w:div>
        <w:div w:id="1267737103">
          <w:marLeft w:val="0"/>
          <w:marRight w:val="0"/>
          <w:marTop w:val="0"/>
          <w:marBottom w:val="0"/>
          <w:divBdr>
            <w:top w:val="none" w:sz="0" w:space="0" w:color="auto"/>
            <w:left w:val="none" w:sz="0" w:space="0" w:color="auto"/>
            <w:bottom w:val="none" w:sz="0" w:space="0" w:color="auto"/>
            <w:right w:val="none" w:sz="0" w:space="0" w:color="auto"/>
          </w:divBdr>
        </w:div>
        <w:div w:id="539904305">
          <w:marLeft w:val="0"/>
          <w:marRight w:val="0"/>
          <w:marTop w:val="0"/>
          <w:marBottom w:val="0"/>
          <w:divBdr>
            <w:top w:val="none" w:sz="0" w:space="0" w:color="auto"/>
            <w:left w:val="none" w:sz="0" w:space="0" w:color="auto"/>
            <w:bottom w:val="none" w:sz="0" w:space="0" w:color="auto"/>
            <w:right w:val="none" w:sz="0" w:space="0" w:color="auto"/>
          </w:divBdr>
        </w:div>
        <w:div w:id="1931305640">
          <w:marLeft w:val="0"/>
          <w:marRight w:val="0"/>
          <w:marTop w:val="0"/>
          <w:marBottom w:val="0"/>
          <w:divBdr>
            <w:top w:val="none" w:sz="0" w:space="0" w:color="auto"/>
            <w:left w:val="none" w:sz="0" w:space="0" w:color="auto"/>
            <w:bottom w:val="none" w:sz="0" w:space="0" w:color="auto"/>
            <w:right w:val="none" w:sz="0" w:space="0" w:color="auto"/>
          </w:divBdr>
        </w:div>
        <w:div w:id="2091072486">
          <w:marLeft w:val="0"/>
          <w:marRight w:val="0"/>
          <w:marTop w:val="0"/>
          <w:marBottom w:val="0"/>
          <w:divBdr>
            <w:top w:val="none" w:sz="0" w:space="0" w:color="auto"/>
            <w:left w:val="none" w:sz="0" w:space="0" w:color="auto"/>
            <w:bottom w:val="none" w:sz="0" w:space="0" w:color="auto"/>
            <w:right w:val="none" w:sz="0" w:space="0" w:color="auto"/>
          </w:divBdr>
        </w:div>
        <w:div w:id="1861353547">
          <w:marLeft w:val="0"/>
          <w:marRight w:val="0"/>
          <w:marTop w:val="0"/>
          <w:marBottom w:val="0"/>
          <w:divBdr>
            <w:top w:val="none" w:sz="0" w:space="0" w:color="auto"/>
            <w:left w:val="none" w:sz="0" w:space="0" w:color="auto"/>
            <w:bottom w:val="none" w:sz="0" w:space="0" w:color="auto"/>
            <w:right w:val="none" w:sz="0" w:space="0" w:color="auto"/>
          </w:divBdr>
        </w:div>
        <w:div w:id="994264688">
          <w:marLeft w:val="0"/>
          <w:marRight w:val="0"/>
          <w:marTop w:val="0"/>
          <w:marBottom w:val="0"/>
          <w:divBdr>
            <w:top w:val="none" w:sz="0" w:space="0" w:color="auto"/>
            <w:left w:val="none" w:sz="0" w:space="0" w:color="auto"/>
            <w:bottom w:val="none" w:sz="0" w:space="0" w:color="auto"/>
            <w:right w:val="none" w:sz="0" w:space="0" w:color="auto"/>
          </w:divBdr>
        </w:div>
        <w:div w:id="1168179645">
          <w:marLeft w:val="0"/>
          <w:marRight w:val="0"/>
          <w:marTop w:val="0"/>
          <w:marBottom w:val="0"/>
          <w:divBdr>
            <w:top w:val="none" w:sz="0" w:space="0" w:color="auto"/>
            <w:left w:val="none" w:sz="0" w:space="0" w:color="auto"/>
            <w:bottom w:val="none" w:sz="0" w:space="0" w:color="auto"/>
            <w:right w:val="none" w:sz="0" w:space="0" w:color="auto"/>
          </w:divBdr>
        </w:div>
      </w:divsChild>
    </w:div>
    <w:div w:id="1393386952">
      <w:bodyDiv w:val="1"/>
      <w:marLeft w:val="0"/>
      <w:marRight w:val="0"/>
      <w:marTop w:val="0"/>
      <w:marBottom w:val="0"/>
      <w:divBdr>
        <w:top w:val="none" w:sz="0" w:space="0" w:color="auto"/>
        <w:left w:val="none" w:sz="0" w:space="0" w:color="auto"/>
        <w:bottom w:val="none" w:sz="0" w:space="0" w:color="auto"/>
        <w:right w:val="none" w:sz="0" w:space="0" w:color="auto"/>
      </w:divBdr>
      <w:divsChild>
        <w:div w:id="228157800">
          <w:marLeft w:val="0"/>
          <w:marRight w:val="0"/>
          <w:marTop w:val="0"/>
          <w:marBottom w:val="0"/>
          <w:divBdr>
            <w:top w:val="none" w:sz="0" w:space="0" w:color="auto"/>
            <w:left w:val="none" w:sz="0" w:space="0" w:color="auto"/>
            <w:bottom w:val="none" w:sz="0" w:space="0" w:color="auto"/>
            <w:right w:val="none" w:sz="0" w:space="0" w:color="auto"/>
          </w:divBdr>
          <w:divsChild>
            <w:div w:id="420101505">
              <w:marLeft w:val="0"/>
              <w:marRight w:val="0"/>
              <w:marTop w:val="0"/>
              <w:marBottom w:val="0"/>
              <w:divBdr>
                <w:top w:val="none" w:sz="0" w:space="0" w:color="auto"/>
                <w:left w:val="none" w:sz="0" w:space="0" w:color="auto"/>
                <w:bottom w:val="none" w:sz="0" w:space="0" w:color="auto"/>
                <w:right w:val="none" w:sz="0" w:space="0" w:color="auto"/>
              </w:divBdr>
            </w:div>
            <w:div w:id="971204759">
              <w:marLeft w:val="0"/>
              <w:marRight w:val="0"/>
              <w:marTop w:val="90"/>
              <w:marBottom w:val="0"/>
              <w:divBdr>
                <w:top w:val="none" w:sz="0" w:space="0" w:color="auto"/>
                <w:left w:val="none" w:sz="0" w:space="0" w:color="auto"/>
                <w:bottom w:val="none" w:sz="0" w:space="0" w:color="auto"/>
                <w:right w:val="none" w:sz="0" w:space="0" w:color="auto"/>
              </w:divBdr>
              <w:divsChild>
                <w:div w:id="409810092">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058969123">
          <w:marLeft w:val="0"/>
          <w:marRight w:val="0"/>
          <w:marTop w:val="0"/>
          <w:marBottom w:val="0"/>
          <w:divBdr>
            <w:top w:val="none" w:sz="0" w:space="0" w:color="auto"/>
            <w:left w:val="none" w:sz="0" w:space="0" w:color="auto"/>
            <w:bottom w:val="none" w:sz="0" w:space="0" w:color="auto"/>
            <w:right w:val="none" w:sz="0" w:space="0" w:color="auto"/>
          </w:divBdr>
          <w:divsChild>
            <w:div w:id="1256014245">
              <w:marLeft w:val="0"/>
              <w:marRight w:val="0"/>
              <w:marTop w:val="0"/>
              <w:marBottom w:val="0"/>
              <w:divBdr>
                <w:top w:val="single" w:sz="6" w:space="0" w:color="979BA7"/>
                <w:left w:val="single" w:sz="6" w:space="6" w:color="979BA7"/>
                <w:bottom w:val="single" w:sz="6" w:space="0" w:color="979BA7"/>
                <w:right w:val="single" w:sz="6" w:space="15" w:color="979BA7"/>
              </w:divBdr>
              <w:divsChild>
                <w:div w:id="1710304865">
                  <w:marLeft w:val="0"/>
                  <w:marRight w:val="120"/>
                  <w:marTop w:val="0"/>
                  <w:marBottom w:val="0"/>
                  <w:divBdr>
                    <w:top w:val="none" w:sz="0" w:space="0" w:color="auto"/>
                    <w:left w:val="none" w:sz="0" w:space="0" w:color="auto"/>
                    <w:bottom w:val="none" w:sz="0" w:space="0" w:color="auto"/>
                    <w:right w:val="none" w:sz="0" w:space="0" w:color="auto"/>
                  </w:divBdr>
                  <w:divsChild>
                    <w:div w:id="898050814">
                      <w:marLeft w:val="0"/>
                      <w:marRight w:val="360"/>
                      <w:marTop w:val="0"/>
                      <w:marBottom w:val="0"/>
                      <w:divBdr>
                        <w:top w:val="none" w:sz="0" w:space="0" w:color="auto"/>
                        <w:left w:val="none" w:sz="0" w:space="0" w:color="auto"/>
                        <w:bottom w:val="none" w:sz="0" w:space="0" w:color="auto"/>
                        <w:right w:val="none" w:sz="0" w:space="0" w:color="auto"/>
                      </w:divBdr>
                    </w:div>
                    <w:div w:id="1495488276">
                      <w:marLeft w:val="0"/>
                      <w:marRight w:val="0"/>
                      <w:marTop w:val="0"/>
                      <w:marBottom w:val="0"/>
                      <w:divBdr>
                        <w:top w:val="none" w:sz="0" w:space="0" w:color="auto"/>
                        <w:left w:val="none" w:sz="0" w:space="0" w:color="auto"/>
                        <w:bottom w:val="none" w:sz="0" w:space="0" w:color="auto"/>
                        <w:right w:val="none" w:sz="0" w:space="0" w:color="auto"/>
                      </w:divBdr>
                    </w:div>
                    <w:div w:id="970399902">
                      <w:marLeft w:val="0"/>
                      <w:marRight w:val="0"/>
                      <w:marTop w:val="0"/>
                      <w:marBottom w:val="0"/>
                      <w:divBdr>
                        <w:top w:val="none" w:sz="0" w:space="0" w:color="auto"/>
                        <w:left w:val="none" w:sz="0" w:space="0" w:color="auto"/>
                        <w:bottom w:val="none" w:sz="0" w:space="0" w:color="auto"/>
                        <w:right w:val="none" w:sz="0" w:space="0" w:color="auto"/>
                      </w:divBdr>
                    </w:div>
                  </w:divsChild>
                </w:div>
                <w:div w:id="1181774978">
                  <w:marLeft w:val="120"/>
                  <w:marRight w:val="120"/>
                  <w:marTop w:val="0"/>
                  <w:marBottom w:val="0"/>
                  <w:divBdr>
                    <w:top w:val="none" w:sz="0" w:space="0" w:color="auto"/>
                    <w:left w:val="none" w:sz="0" w:space="0" w:color="auto"/>
                    <w:bottom w:val="none" w:sz="0" w:space="0" w:color="auto"/>
                    <w:right w:val="none" w:sz="0" w:space="0" w:color="auto"/>
                  </w:divBdr>
                </w:div>
                <w:div w:id="1839809129">
                  <w:marLeft w:val="0"/>
                  <w:marRight w:val="0"/>
                  <w:marTop w:val="0"/>
                  <w:marBottom w:val="0"/>
                  <w:divBdr>
                    <w:top w:val="none" w:sz="0" w:space="0" w:color="auto"/>
                    <w:left w:val="none" w:sz="0" w:space="0" w:color="auto"/>
                    <w:bottom w:val="none" w:sz="0" w:space="0" w:color="auto"/>
                    <w:right w:val="none" w:sz="0" w:space="0" w:color="auto"/>
                  </w:divBdr>
                  <w:divsChild>
                    <w:div w:id="786199056">
                      <w:marLeft w:val="0"/>
                      <w:marRight w:val="0"/>
                      <w:marTop w:val="0"/>
                      <w:marBottom w:val="0"/>
                      <w:divBdr>
                        <w:top w:val="none" w:sz="0" w:space="0" w:color="auto"/>
                        <w:left w:val="none" w:sz="0" w:space="0" w:color="auto"/>
                        <w:bottom w:val="none" w:sz="0" w:space="0" w:color="auto"/>
                        <w:right w:val="none" w:sz="0" w:space="0" w:color="auto"/>
                      </w:divBdr>
                      <w:divsChild>
                        <w:div w:id="1766654273">
                          <w:marLeft w:val="0"/>
                          <w:marRight w:val="0"/>
                          <w:marTop w:val="0"/>
                          <w:marBottom w:val="0"/>
                          <w:divBdr>
                            <w:top w:val="none" w:sz="0" w:space="0" w:color="auto"/>
                            <w:left w:val="none" w:sz="0" w:space="0" w:color="auto"/>
                            <w:bottom w:val="none" w:sz="0" w:space="0" w:color="auto"/>
                            <w:right w:val="none" w:sz="0" w:space="0" w:color="auto"/>
                          </w:divBdr>
                          <w:divsChild>
                            <w:div w:id="1051491122">
                              <w:marLeft w:val="0"/>
                              <w:marRight w:val="0"/>
                              <w:marTop w:val="0"/>
                              <w:marBottom w:val="0"/>
                              <w:divBdr>
                                <w:top w:val="none" w:sz="0" w:space="0" w:color="auto"/>
                                <w:left w:val="none" w:sz="0" w:space="0" w:color="auto"/>
                                <w:bottom w:val="none" w:sz="0" w:space="0" w:color="auto"/>
                                <w:right w:val="none" w:sz="0" w:space="0" w:color="auto"/>
                              </w:divBdr>
                              <w:divsChild>
                                <w:div w:id="235747800">
                                  <w:marLeft w:val="0"/>
                                  <w:marRight w:val="0"/>
                                  <w:marTop w:val="0"/>
                                  <w:marBottom w:val="0"/>
                                  <w:divBdr>
                                    <w:top w:val="none" w:sz="0" w:space="0" w:color="auto"/>
                                    <w:left w:val="none" w:sz="0" w:space="0" w:color="auto"/>
                                    <w:bottom w:val="none" w:sz="0" w:space="0" w:color="auto"/>
                                    <w:right w:val="none" w:sz="0" w:space="0" w:color="auto"/>
                                  </w:divBdr>
                                  <w:divsChild>
                                    <w:div w:id="1297643852">
                                      <w:marLeft w:val="0"/>
                                      <w:marRight w:val="0"/>
                                      <w:marTop w:val="0"/>
                                      <w:marBottom w:val="0"/>
                                      <w:divBdr>
                                        <w:top w:val="none" w:sz="0" w:space="0" w:color="auto"/>
                                        <w:left w:val="none" w:sz="0" w:space="0" w:color="auto"/>
                                        <w:bottom w:val="none" w:sz="0" w:space="0" w:color="auto"/>
                                        <w:right w:val="none" w:sz="0" w:space="0" w:color="auto"/>
                                      </w:divBdr>
                                      <w:divsChild>
                                        <w:div w:id="710040007">
                                          <w:marLeft w:val="0"/>
                                          <w:marRight w:val="0"/>
                                          <w:marTop w:val="0"/>
                                          <w:marBottom w:val="0"/>
                                          <w:divBdr>
                                            <w:top w:val="none" w:sz="0" w:space="0" w:color="auto"/>
                                            <w:left w:val="none" w:sz="0" w:space="0" w:color="auto"/>
                                            <w:bottom w:val="none" w:sz="0" w:space="0" w:color="auto"/>
                                            <w:right w:val="none" w:sz="0" w:space="0" w:color="auto"/>
                                          </w:divBdr>
                                          <w:divsChild>
                                            <w:div w:id="10946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828271">
      <w:bodyDiv w:val="1"/>
      <w:marLeft w:val="0"/>
      <w:marRight w:val="0"/>
      <w:marTop w:val="0"/>
      <w:marBottom w:val="0"/>
      <w:divBdr>
        <w:top w:val="none" w:sz="0" w:space="0" w:color="auto"/>
        <w:left w:val="none" w:sz="0" w:space="0" w:color="auto"/>
        <w:bottom w:val="none" w:sz="0" w:space="0" w:color="auto"/>
        <w:right w:val="none" w:sz="0" w:space="0" w:color="auto"/>
      </w:divBdr>
      <w:divsChild>
        <w:div w:id="905189742">
          <w:marLeft w:val="0"/>
          <w:marRight w:val="0"/>
          <w:marTop w:val="0"/>
          <w:marBottom w:val="0"/>
          <w:divBdr>
            <w:top w:val="none" w:sz="0" w:space="0" w:color="auto"/>
            <w:left w:val="none" w:sz="0" w:space="0" w:color="auto"/>
            <w:bottom w:val="none" w:sz="0" w:space="0" w:color="auto"/>
            <w:right w:val="none" w:sz="0" w:space="0" w:color="auto"/>
          </w:divBdr>
        </w:div>
        <w:div w:id="330331512">
          <w:marLeft w:val="0"/>
          <w:marRight w:val="0"/>
          <w:marTop w:val="0"/>
          <w:marBottom w:val="0"/>
          <w:divBdr>
            <w:top w:val="none" w:sz="0" w:space="0" w:color="auto"/>
            <w:left w:val="none" w:sz="0" w:space="0" w:color="auto"/>
            <w:bottom w:val="none" w:sz="0" w:space="0" w:color="auto"/>
            <w:right w:val="none" w:sz="0" w:space="0" w:color="auto"/>
          </w:divBdr>
        </w:div>
        <w:div w:id="563493114">
          <w:marLeft w:val="0"/>
          <w:marRight w:val="0"/>
          <w:marTop w:val="0"/>
          <w:marBottom w:val="0"/>
          <w:divBdr>
            <w:top w:val="none" w:sz="0" w:space="0" w:color="auto"/>
            <w:left w:val="none" w:sz="0" w:space="0" w:color="auto"/>
            <w:bottom w:val="none" w:sz="0" w:space="0" w:color="auto"/>
            <w:right w:val="none" w:sz="0" w:space="0" w:color="auto"/>
          </w:divBdr>
        </w:div>
        <w:div w:id="1599825961">
          <w:marLeft w:val="0"/>
          <w:marRight w:val="0"/>
          <w:marTop w:val="0"/>
          <w:marBottom w:val="0"/>
          <w:divBdr>
            <w:top w:val="none" w:sz="0" w:space="0" w:color="auto"/>
            <w:left w:val="none" w:sz="0" w:space="0" w:color="auto"/>
            <w:bottom w:val="none" w:sz="0" w:space="0" w:color="auto"/>
            <w:right w:val="none" w:sz="0" w:space="0" w:color="auto"/>
          </w:divBdr>
        </w:div>
        <w:div w:id="43413333">
          <w:marLeft w:val="0"/>
          <w:marRight w:val="0"/>
          <w:marTop w:val="0"/>
          <w:marBottom w:val="0"/>
          <w:divBdr>
            <w:top w:val="none" w:sz="0" w:space="0" w:color="auto"/>
            <w:left w:val="none" w:sz="0" w:space="0" w:color="auto"/>
            <w:bottom w:val="none" w:sz="0" w:space="0" w:color="auto"/>
            <w:right w:val="none" w:sz="0" w:space="0" w:color="auto"/>
          </w:divBdr>
        </w:div>
        <w:div w:id="1121264250">
          <w:marLeft w:val="0"/>
          <w:marRight w:val="0"/>
          <w:marTop w:val="0"/>
          <w:marBottom w:val="0"/>
          <w:divBdr>
            <w:top w:val="none" w:sz="0" w:space="0" w:color="auto"/>
            <w:left w:val="none" w:sz="0" w:space="0" w:color="auto"/>
            <w:bottom w:val="none" w:sz="0" w:space="0" w:color="auto"/>
            <w:right w:val="none" w:sz="0" w:space="0" w:color="auto"/>
          </w:divBdr>
        </w:div>
        <w:div w:id="985160452">
          <w:marLeft w:val="0"/>
          <w:marRight w:val="0"/>
          <w:marTop w:val="0"/>
          <w:marBottom w:val="0"/>
          <w:divBdr>
            <w:top w:val="none" w:sz="0" w:space="0" w:color="auto"/>
            <w:left w:val="none" w:sz="0" w:space="0" w:color="auto"/>
            <w:bottom w:val="none" w:sz="0" w:space="0" w:color="auto"/>
            <w:right w:val="none" w:sz="0" w:space="0" w:color="auto"/>
          </w:divBdr>
        </w:div>
        <w:div w:id="951325520">
          <w:marLeft w:val="0"/>
          <w:marRight w:val="0"/>
          <w:marTop w:val="0"/>
          <w:marBottom w:val="0"/>
          <w:divBdr>
            <w:top w:val="none" w:sz="0" w:space="0" w:color="auto"/>
            <w:left w:val="none" w:sz="0" w:space="0" w:color="auto"/>
            <w:bottom w:val="none" w:sz="0" w:space="0" w:color="auto"/>
            <w:right w:val="none" w:sz="0" w:space="0" w:color="auto"/>
          </w:divBdr>
        </w:div>
        <w:div w:id="1724600656">
          <w:marLeft w:val="0"/>
          <w:marRight w:val="0"/>
          <w:marTop w:val="0"/>
          <w:marBottom w:val="0"/>
          <w:divBdr>
            <w:top w:val="none" w:sz="0" w:space="0" w:color="auto"/>
            <w:left w:val="none" w:sz="0" w:space="0" w:color="auto"/>
            <w:bottom w:val="none" w:sz="0" w:space="0" w:color="auto"/>
            <w:right w:val="none" w:sz="0" w:space="0" w:color="auto"/>
          </w:divBdr>
        </w:div>
        <w:div w:id="2112242007">
          <w:marLeft w:val="0"/>
          <w:marRight w:val="0"/>
          <w:marTop w:val="0"/>
          <w:marBottom w:val="0"/>
          <w:divBdr>
            <w:top w:val="none" w:sz="0" w:space="0" w:color="auto"/>
            <w:left w:val="none" w:sz="0" w:space="0" w:color="auto"/>
            <w:bottom w:val="none" w:sz="0" w:space="0" w:color="auto"/>
            <w:right w:val="none" w:sz="0" w:space="0" w:color="auto"/>
          </w:divBdr>
        </w:div>
        <w:div w:id="1110393225">
          <w:marLeft w:val="0"/>
          <w:marRight w:val="0"/>
          <w:marTop w:val="0"/>
          <w:marBottom w:val="0"/>
          <w:divBdr>
            <w:top w:val="none" w:sz="0" w:space="0" w:color="auto"/>
            <w:left w:val="none" w:sz="0" w:space="0" w:color="auto"/>
            <w:bottom w:val="none" w:sz="0" w:space="0" w:color="auto"/>
            <w:right w:val="none" w:sz="0" w:space="0" w:color="auto"/>
          </w:divBdr>
        </w:div>
        <w:div w:id="1296107805">
          <w:marLeft w:val="0"/>
          <w:marRight w:val="0"/>
          <w:marTop w:val="0"/>
          <w:marBottom w:val="0"/>
          <w:divBdr>
            <w:top w:val="none" w:sz="0" w:space="0" w:color="auto"/>
            <w:left w:val="none" w:sz="0" w:space="0" w:color="auto"/>
            <w:bottom w:val="none" w:sz="0" w:space="0" w:color="auto"/>
            <w:right w:val="none" w:sz="0" w:space="0" w:color="auto"/>
          </w:divBdr>
        </w:div>
        <w:div w:id="576284562">
          <w:marLeft w:val="0"/>
          <w:marRight w:val="0"/>
          <w:marTop w:val="0"/>
          <w:marBottom w:val="0"/>
          <w:divBdr>
            <w:top w:val="none" w:sz="0" w:space="0" w:color="auto"/>
            <w:left w:val="none" w:sz="0" w:space="0" w:color="auto"/>
            <w:bottom w:val="none" w:sz="0" w:space="0" w:color="auto"/>
            <w:right w:val="none" w:sz="0" w:space="0" w:color="auto"/>
          </w:divBdr>
        </w:div>
        <w:div w:id="1849245106">
          <w:marLeft w:val="0"/>
          <w:marRight w:val="0"/>
          <w:marTop w:val="0"/>
          <w:marBottom w:val="0"/>
          <w:divBdr>
            <w:top w:val="none" w:sz="0" w:space="0" w:color="auto"/>
            <w:left w:val="none" w:sz="0" w:space="0" w:color="auto"/>
            <w:bottom w:val="none" w:sz="0" w:space="0" w:color="auto"/>
            <w:right w:val="none" w:sz="0" w:space="0" w:color="auto"/>
          </w:divBdr>
        </w:div>
        <w:div w:id="1838572919">
          <w:marLeft w:val="0"/>
          <w:marRight w:val="0"/>
          <w:marTop w:val="0"/>
          <w:marBottom w:val="0"/>
          <w:divBdr>
            <w:top w:val="none" w:sz="0" w:space="0" w:color="auto"/>
            <w:left w:val="none" w:sz="0" w:space="0" w:color="auto"/>
            <w:bottom w:val="none" w:sz="0" w:space="0" w:color="auto"/>
            <w:right w:val="none" w:sz="0" w:space="0" w:color="auto"/>
          </w:divBdr>
        </w:div>
        <w:div w:id="985739293">
          <w:marLeft w:val="0"/>
          <w:marRight w:val="0"/>
          <w:marTop w:val="0"/>
          <w:marBottom w:val="0"/>
          <w:divBdr>
            <w:top w:val="none" w:sz="0" w:space="0" w:color="auto"/>
            <w:left w:val="none" w:sz="0" w:space="0" w:color="auto"/>
            <w:bottom w:val="none" w:sz="0" w:space="0" w:color="auto"/>
            <w:right w:val="none" w:sz="0" w:space="0" w:color="auto"/>
          </w:divBdr>
        </w:div>
      </w:divsChild>
    </w:div>
    <w:div w:id="1588690563">
      <w:bodyDiv w:val="1"/>
      <w:marLeft w:val="0"/>
      <w:marRight w:val="0"/>
      <w:marTop w:val="0"/>
      <w:marBottom w:val="0"/>
      <w:divBdr>
        <w:top w:val="none" w:sz="0" w:space="0" w:color="auto"/>
        <w:left w:val="none" w:sz="0" w:space="0" w:color="auto"/>
        <w:bottom w:val="none" w:sz="0" w:space="0" w:color="auto"/>
        <w:right w:val="none" w:sz="0" w:space="0" w:color="auto"/>
      </w:divBdr>
      <w:divsChild>
        <w:div w:id="25571387">
          <w:marLeft w:val="0"/>
          <w:marRight w:val="0"/>
          <w:marTop w:val="0"/>
          <w:marBottom w:val="0"/>
          <w:divBdr>
            <w:top w:val="single" w:sz="48" w:space="0" w:color="F0F0F0"/>
            <w:left w:val="none" w:sz="0" w:space="0" w:color="auto"/>
            <w:bottom w:val="none" w:sz="0" w:space="0" w:color="auto"/>
            <w:right w:val="none" w:sz="0" w:space="0" w:color="auto"/>
          </w:divBdr>
          <w:divsChild>
            <w:div w:id="2078241045">
              <w:marLeft w:val="0"/>
              <w:marRight w:val="0"/>
              <w:marTop w:val="0"/>
              <w:marBottom w:val="0"/>
              <w:divBdr>
                <w:top w:val="none" w:sz="0" w:space="0" w:color="auto"/>
                <w:left w:val="none" w:sz="0" w:space="0" w:color="auto"/>
                <w:bottom w:val="none" w:sz="0" w:space="0" w:color="auto"/>
                <w:right w:val="none" w:sz="0" w:space="0" w:color="auto"/>
              </w:divBdr>
            </w:div>
            <w:div w:id="1647271363">
              <w:marLeft w:val="0"/>
              <w:marRight w:val="0"/>
              <w:marTop w:val="0"/>
              <w:marBottom w:val="0"/>
              <w:divBdr>
                <w:top w:val="none" w:sz="0" w:space="0" w:color="auto"/>
                <w:left w:val="none" w:sz="0" w:space="0" w:color="auto"/>
                <w:bottom w:val="none" w:sz="0" w:space="0" w:color="auto"/>
                <w:right w:val="none" w:sz="0" w:space="0" w:color="auto"/>
              </w:divBdr>
            </w:div>
            <w:div w:id="5042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2363">
      <w:bodyDiv w:val="1"/>
      <w:marLeft w:val="0"/>
      <w:marRight w:val="0"/>
      <w:marTop w:val="0"/>
      <w:marBottom w:val="0"/>
      <w:divBdr>
        <w:top w:val="none" w:sz="0" w:space="0" w:color="auto"/>
        <w:left w:val="none" w:sz="0" w:space="0" w:color="auto"/>
        <w:bottom w:val="none" w:sz="0" w:space="0" w:color="auto"/>
        <w:right w:val="none" w:sz="0" w:space="0" w:color="auto"/>
      </w:divBdr>
      <w:divsChild>
        <w:div w:id="186470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javascript:%20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2019-10-26T09:35:00Z</cp:lastPrinted>
  <dcterms:created xsi:type="dcterms:W3CDTF">2020-03-16T09:34:00Z</dcterms:created>
  <dcterms:modified xsi:type="dcterms:W3CDTF">2020-03-16T09:34:00Z</dcterms:modified>
</cp:coreProperties>
</file>